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C16DF" w14:textId="52278906" w:rsidR="00A449A2" w:rsidRPr="00A449A2" w:rsidRDefault="00A449A2" w:rsidP="00A449A2">
      <w:pPr>
        <w:jc w:val="right"/>
        <w:rPr>
          <w:rFonts w:ascii="Times New Roman" w:hAnsi="Times New Roman" w:cs="Times New Roman"/>
          <w:i/>
          <w:sz w:val="20"/>
          <w:szCs w:val="20"/>
        </w:rPr>
      </w:pPr>
      <w:r w:rsidRPr="00A449A2">
        <w:rPr>
          <w:rFonts w:ascii="Times New Roman" w:hAnsi="Times New Roman" w:cs="Times New Roman"/>
          <w:i/>
          <w:sz w:val="20"/>
          <w:szCs w:val="20"/>
        </w:rPr>
        <w:t>Spēkā esošā likuma redakcija</w:t>
      </w:r>
    </w:p>
    <w:p w14:paraId="4A02421D" w14:textId="768D9BBA" w:rsidR="00D63814" w:rsidRPr="00921EE8" w:rsidRDefault="00D63814" w:rsidP="00921EE8">
      <w:pPr>
        <w:jc w:val="center"/>
        <w:rPr>
          <w:rFonts w:ascii="Times New Roman" w:hAnsi="Times New Roman" w:cs="Times New Roman"/>
          <w:b/>
          <w:bCs/>
        </w:rPr>
      </w:pPr>
      <w:r w:rsidRPr="00921EE8">
        <w:rPr>
          <w:rFonts w:ascii="Times New Roman" w:hAnsi="Times New Roman" w:cs="Times New Roman"/>
          <w:b/>
          <w:bCs/>
        </w:rPr>
        <w:t>Elektronisko sakaru likums</w:t>
      </w:r>
    </w:p>
    <w:p w14:paraId="53AF23FB" w14:textId="77777777" w:rsidR="00D63814" w:rsidRPr="00921EE8" w:rsidRDefault="00D63814" w:rsidP="00921EE8">
      <w:pPr>
        <w:rPr>
          <w:rFonts w:ascii="Times New Roman" w:hAnsi="Times New Roman" w:cs="Times New Roman"/>
          <w:b/>
          <w:bCs/>
        </w:rPr>
      </w:pPr>
      <w:bookmarkStart w:id="0" w:name="n1"/>
      <w:bookmarkStart w:id="1" w:name="n-1120320"/>
      <w:bookmarkEnd w:id="0"/>
      <w:bookmarkEnd w:id="1"/>
      <w:r w:rsidRPr="00921EE8">
        <w:rPr>
          <w:rFonts w:ascii="Times New Roman" w:hAnsi="Times New Roman" w:cs="Times New Roman"/>
          <w:b/>
          <w:bCs/>
        </w:rPr>
        <w:t>I nodaļa</w:t>
      </w:r>
      <w:r w:rsidRPr="00921EE8">
        <w:rPr>
          <w:rFonts w:ascii="Times New Roman" w:hAnsi="Times New Roman" w:cs="Times New Roman"/>
          <w:b/>
          <w:bCs/>
        </w:rPr>
        <w:br/>
        <w:t>Vispārīgie noteikumi</w:t>
      </w:r>
    </w:p>
    <w:p w14:paraId="01043F09" w14:textId="77777777" w:rsidR="00D63814" w:rsidRPr="00921EE8" w:rsidRDefault="00D63814" w:rsidP="00921EE8">
      <w:pPr>
        <w:jc w:val="both"/>
        <w:rPr>
          <w:rFonts w:ascii="Times New Roman" w:hAnsi="Times New Roman" w:cs="Times New Roman"/>
        </w:rPr>
      </w:pPr>
      <w:bookmarkStart w:id="2" w:name="p1"/>
      <w:bookmarkStart w:id="3" w:name="p-1397691"/>
      <w:bookmarkEnd w:id="2"/>
      <w:bookmarkEnd w:id="3"/>
      <w:r w:rsidRPr="00921EE8">
        <w:rPr>
          <w:rFonts w:ascii="Times New Roman" w:hAnsi="Times New Roman" w:cs="Times New Roman"/>
          <w:b/>
          <w:bCs/>
        </w:rPr>
        <w:t>1. pants. Likumā lietotie termini</w:t>
      </w:r>
    </w:p>
    <w:p w14:paraId="1AF2F07F" w14:textId="77777777" w:rsidR="00D63814" w:rsidRPr="00921EE8" w:rsidRDefault="00D63814" w:rsidP="00921EE8">
      <w:pPr>
        <w:jc w:val="both"/>
        <w:rPr>
          <w:rFonts w:ascii="Times New Roman" w:hAnsi="Times New Roman" w:cs="Times New Roman"/>
        </w:rPr>
      </w:pPr>
      <w:r w:rsidRPr="00921EE8">
        <w:rPr>
          <w:rFonts w:ascii="Times New Roman" w:hAnsi="Times New Roman" w:cs="Times New Roman"/>
        </w:rPr>
        <w:t>(1) Likumā ir lietoti šādi termini:</w:t>
      </w:r>
    </w:p>
    <w:p w14:paraId="59EE7B10" w14:textId="3E20CFF6" w:rsidR="00D63814" w:rsidRPr="00921EE8" w:rsidRDefault="00A449A2" w:rsidP="00921EE8">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BD6F0F4" wp14:editId="54254AD0">
                <wp:simplePos x="0" y="0"/>
                <wp:positionH relativeFrom="column">
                  <wp:posOffset>-438150</wp:posOffset>
                </wp:positionH>
                <wp:positionV relativeFrom="paragraph">
                  <wp:posOffset>288925</wp:posOffset>
                </wp:positionV>
                <wp:extent cx="0" cy="228600"/>
                <wp:effectExtent l="0" t="0" r="38100" b="19050"/>
                <wp:wrapNone/>
                <wp:docPr id="369043069" name="Straight Connector 1"/>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F508E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22.75pt" to="-34.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aS8mwEAAJMDAAAOAAAAZHJzL2Uyb0RvYy54bWysU8uO2zAMvBfoPwi6N3Z8WCyMOHvYRXsp&#10;2kUfH6CVqViAXqDU2Pn7UkziFG2BBYpeZD04Q86Q3j0s3okjYLYxDHK7aaWAoONow2GQ37+9f3cv&#10;RS4qjMrFAIM8QZYP+7dvdnPqoYtTdCOgIJKQ+zkNciol9U2T9QRe5U1MEOjRRPSq0BEPzYhqJnbv&#10;mq5t75o54pgwasiZbp/Oj3LP/MaALp+NyVCEGyTVVnhFXl/q2ux3qj+gSpPVlzLUP1ThlQ2UdKV6&#10;UkWJH2j/oPJWY8zRlI2OvonGWA2sgdRs29/UfJ1UAtZC5uS02pT/H63+dHwMz0g2zCn3OT1jVbEY&#10;9PVL9YmFzTqtZsFShD5farrtuvu7ln1sbriEuXyA6EXdDNLZUGWoXh0/5kK5KPQaQodbZt6Vk4Ma&#10;7MIXMMKOlKtjNA8FPDoUR0XtVFpDKNvaQuLj6Aoz1rkV2L4OvMRXKPDArODt6+AVwZljKCvY2xDx&#10;bwRluZZszvFXB866qwUvcTxxT9ga6jwrvExpHa1fzwy//Uv7nwAAAP//AwBQSwMEFAAGAAgAAAAh&#10;AB6d44fcAAAACQEAAA8AAABkcnMvZG93bnJldi54bWxMj09Lw0AQxe+C32EZwVu7qZhS00yKRsSL&#10;IKbS8zQ7ZoP7J2S3afz2rnjQ45v3ePN75W62Rkw8ht47hNUyA8Gu9ap3HcL7/mmxAREiOUXGO0b4&#10;4gC76vKipEL5s3vjqYmdSCUuFISgYxwKKUOr2VJY+oFd8j78aCkmOXZSjXRO5dbImyxbS0u9Sx80&#10;DVxrbj+bk0WQL/Lh2b8af6h7bY3fNxM91ojXV/P9FkTkOf6F4Qc/oUOVmI7+5FQQBmGxvktbIsJt&#10;noNIgd/DEWGzykFWpfy/oPoGAAD//wMAUEsBAi0AFAAGAAgAAAAhALaDOJL+AAAA4QEAABMAAAAA&#10;AAAAAAAAAAAAAAAAAFtDb250ZW50X1R5cGVzXS54bWxQSwECLQAUAAYACAAAACEAOP0h/9YAAACU&#10;AQAACwAAAAAAAAAAAAAAAAAvAQAAX3JlbHMvLnJlbHNQSwECLQAUAAYACAAAACEAwJGkvJsBAACT&#10;AwAADgAAAAAAAAAAAAAAAAAuAgAAZHJzL2Uyb0RvYy54bWxQSwECLQAUAAYACAAAACEAHp3jh9wA&#10;AAAJAQAADwAAAAAAAAAAAAAAAAD1AwAAZHJzL2Rvd25yZXYueG1sUEsFBgAAAAAEAAQA8wAAAP4E&#10;AAAAAA==&#10;" strokecolor="#156082 [3204]" strokeweight="1.5pt">
                <v:stroke joinstyle="miter"/>
              </v:line>
            </w:pict>
          </mc:Fallback>
        </mc:AlternateContent>
      </w:r>
      <w:r w:rsidR="00D63814" w:rsidRPr="00921EE8">
        <w:rPr>
          <w:rFonts w:ascii="Times New Roman" w:hAnsi="Times New Roman" w:cs="Times New Roman"/>
        </w:rPr>
        <w:t>--------------</w:t>
      </w:r>
    </w:p>
    <w:p w14:paraId="2CF409ED" w14:textId="77777777" w:rsidR="00D63814" w:rsidRPr="00921EE8" w:rsidRDefault="00D63814" w:rsidP="00921EE8">
      <w:pPr>
        <w:jc w:val="both"/>
        <w:rPr>
          <w:rFonts w:ascii="Times New Roman" w:hAnsi="Times New Roman" w:cs="Times New Roman"/>
        </w:rPr>
      </w:pPr>
      <w:r w:rsidRPr="00921EE8">
        <w:rPr>
          <w:rFonts w:ascii="Times New Roman" w:hAnsi="Times New Roman" w:cs="Times New Roman"/>
        </w:rPr>
        <w:t xml:space="preserve">12) </w:t>
      </w:r>
      <w:r w:rsidRPr="00921EE8">
        <w:rPr>
          <w:rFonts w:ascii="Times New Roman" w:hAnsi="Times New Roman" w:cs="Times New Roman"/>
          <w:b/>
          <w:bCs/>
        </w:rPr>
        <w:t>elektronisko sakaru komersants</w:t>
      </w:r>
      <w:r w:rsidRPr="00921EE8">
        <w:rPr>
          <w:rFonts w:ascii="Times New Roman" w:hAnsi="Times New Roman" w:cs="Times New Roman"/>
        </w:rPr>
        <w:t xml:space="preserve"> — komersants, kuram ir tiesības nodrošināt elektronisko sakaru tīklu un sniegt elektronisko sakaru pakalpojumu;</w:t>
      </w:r>
    </w:p>
    <w:p w14:paraId="2068E0ED" w14:textId="5B8CBA9E" w:rsidR="00D63814" w:rsidRPr="00921EE8" w:rsidRDefault="00D63814" w:rsidP="00921EE8">
      <w:pPr>
        <w:jc w:val="both"/>
        <w:rPr>
          <w:rFonts w:ascii="Times New Roman" w:hAnsi="Times New Roman" w:cs="Times New Roman"/>
        </w:rPr>
      </w:pPr>
      <w:r w:rsidRPr="00921EE8">
        <w:rPr>
          <w:rFonts w:ascii="Times New Roman" w:hAnsi="Times New Roman" w:cs="Times New Roman"/>
        </w:rPr>
        <w:t>--------------</w:t>
      </w:r>
    </w:p>
    <w:p w14:paraId="460BB7F9" w14:textId="4B01D583" w:rsidR="00D63814" w:rsidRPr="00921EE8" w:rsidRDefault="00D63814" w:rsidP="00921EE8">
      <w:pPr>
        <w:jc w:val="both"/>
        <w:rPr>
          <w:rFonts w:ascii="Times New Roman" w:hAnsi="Times New Roman" w:cs="Times New Roman"/>
        </w:rPr>
      </w:pPr>
      <w:r w:rsidRPr="00921EE8">
        <w:rPr>
          <w:rFonts w:ascii="Times New Roman" w:hAnsi="Times New Roman" w:cs="Times New Roman"/>
        </w:rPr>
        <w:t>(8) Termini "patērētājs", "pastāvīgs informācijas nesējs" un "tiešsaistes saskarne" šajā likumā lietoti Patērētāju tiesību aizsardzības likuma izpratnē.</w:t>
      </w:r>
    </w:p>
    <w:p w14:paraId="4A9D9A82" w14:textId="77777777" w:rsidR="00D63814" w:rsidRDefault="00D63814" w:rsidP="00921EE8">
      <w:pPr>
        <w:jc w:val="both"/>
        <w:rPr>
          <w:rFonts w:ascii="Times New Roman" w:hAnsi="Times New Roman" w:cs="Times New Roman"/>
          <w:i/>
          <w:iCs/>
          <w:sz w:val="16"/>
          <w:szCs w:val="16"/>
        </w:rPr>
      </w:pPr>
      <w:r w:rsidRPr="00921EE8">
        <w:rPr>
          <w:rFonts w:ascii="Times New Roman" w:hAnsi="Times New Roman" w:cs="Times New Roman"/>
          <w:i/>
          <w:iCs/>
          <w:sz w:val="16"/>
          <w:szCs w:val="16"/>
        </w:rPr>
        <w:t xml:space="preserve">(Ar grozījumiem, kas izdarīti ar </w:t>
      </w:r>
      <w:hyperlink r:id="rId6" w:tgtFrame="_blank" w:history="1">
        <w:r w:rsidRPr="00921EE8">
          <w:rPr>
            <w:rStyle w:val="Hyperlink"/>
            <w:rFonts w:ascii="Times New Roman" w:hAnsi="Times New Roman" w:cs="Times New Roman"/>
            <w:i/>
            <w:iCs/>
            <w:color w:val="auto"/>
            <w:sz w:val="16"/>
            <w:szCs w:val="16"/>
            <w:u w:val="none"/>
          </w:rPr>
          <w:t>19.12.2024</w:t>
        </w:r>
      </w:hyperlink>
      <w:r w:rsidRPr="00921EE8">
        <w:rPr>
          <w:rFonts w:ascii="Times New Roman" w:hAnsi="Times New Roman" w:cs="Times New Roman"/>
          <w:i/>
          <w:iCs/>
          <w:sz w:val="16"/>
          <w:szCs w:val="16"/>
        </w:rPr>
        <w:t xml:space="preserve">. likumu, kas stājas spēkā </w:t>
      </w:r>
      <w:hyperlink r:id="rId7" w:tgtFrame="_blank" w:history="1">
        <w:r w:rsidRPr="00921EE8">
          <w:rPr>
            <w:rStyle w:val="Hyperlink"/>
            <w:rFonts w:ascii="Times New Roman" w:hAnsi="Times New Roman" w:cs="Times New Roman"/>
            <w:i/>
            <w:iCs/>
            <w:color w:val="auto"/>
            <w:sz w:val="16"/>
            <w:szCs w:val="16"/>
            <w:u w:val="none"/>
          </w:rPr>
          <w:t>21.01.2025.</w:t>
        </w:r>
      </w:hyperlink>
      <w:r w:rsidRPr="00921EE8">
        <w:rPr>
          <w:rFonts w:ascii="Times New Roman" w:hAnsi="Times New Roman" w:cs="Times New Roman"/>
          <w:i/>
          <w:iCs/>
          <w:sz w:val="16"/>
          <w:szCs w:val="16"/>
        </w:rPr>
        <w:t>)</w:t>
      </w:r>
    </w:p>
    <w:p w14:paraId="4A4F0DB2" w14:textId="77777777" w:rsidR="00A449A2" w:rsidRPr="00500D50" w:rsidRDefault="00A449A2" w:rsidP="00A449A2">
      <w:pPr>
        <w:pStyle w:val="tv213"/>
        <w:jc w:val="both"/>
        <w:rPr>
          <w:sz w:val="40"/>
          <w:szCs w:val="40"/>
        </w:rPr>
      </w:pPr>
      <w:r w:rsidRPr="00500D50">
        <w:rPr>
          <w:noProof/>
          <w:sz w:val="40"/>
          <w:szCs w:val="40"/>
        </w:rPr>
        <mc:AlternateContent>
          <mc:Choice Requires="wps">
            <w:drawing>
              <wp:anchor distT="0" distB="0" distL="114300" distR="114300" simplePos="0" relativeHeight="251661312" behindDoc="0" locked="0" layoutInCell="1" allowOverlap="1" wp14:anchorId="55CD4EDD" wp14:editId="40574F06">
                <wp:simplePos x="0" y="0"/>
                <wp:positionH relativeFrom="column">
                  <wp:posOffset>-266701</wp:posOffset>
                </wp:positionH>
                <wp:positionV relativeFrom="paragraph">
                  <wp:posOffset>55245</wp:posOffset>
                </wp:positionV>
                <wp:extent cx="0" cy="428625"/>
                <wp:effectExtent l="0" t="0" r="19050" b="28575"/>
                <wp:wrapNone/>
                <wp:docPr id="3" name="Straight Connector 3"/>
                <wp:cNvGraphicFramePr/>
                <a:graphic xmlns:a="http://schemas.openxmlformats.org/drawingml/2006/main">
                  <a:graphicData uri="http://schemas.microsoft.com/office/word/2010/wordprocessingShape">
                    <wps:wsp>
                      <wps:cNvCnPr/>
                      <wps:spPr>
                        <a:xfrm flipH="1">
                          <a:off x="0" y="0"/>
                          <a:ext cx="0" cy="42862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67DD88" id="Straight Connector 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4.35pt" to="-21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jZYwwEAAOcDAAAOAAAAZHJzL2Uyb0RvYy54bWysU01v2zAMvQ/YfxB0X+wESxcYcXpo0e4w&#10;rMU+foAqU7EASRQkNXb+fSk5cbpulw27CDJFPr73SG+vR2vYAULU6Fq+XNScgZPYabdv+c8fdx82&#10;nMUkXCcMOmj5ESK/3r1/tx18Ayvs0XQQGIG42Ay+5X1KvqmqKHuwIi7Qg6NHhcGKRJ9hX3VBDIRu&#10;TbWq66tqwND5gBJipOjt9Mh3BV8pkOlBqQiJmZYTt1TOUM6nfFa7rWj2QfheyxMN8Q8srNCOms5Q&#10;tyIJ9hz0b1BWy4ARVVpItBUqpSUUDaRmWb9R870XHooWMif62ab4/2Dl18ONewxkw+BjE/1jyCpG&#10;FSxTRvvPNNOii5iysdh2nG2DMTE5BSVFP642V6t1drSaEDKSDzHdA1qWLy032mVBohGHLzFNqeeU&#10;HDaODdRyvfm0LmkRje7utDH5sSwF3JjADoLGmcblqdmrLGptHDG4qCm3dDQw4X8DxXRHrCddbzCF&#10;lODSGdc4ys5lihjMhfXELG/ohcyvhaf8XAplCf+meK4ondGludhqh+FP3S9WqCn/7MCkO1vwhN2x&#10;zLlYQ9tUxnTa/Lyur79L+eX/3L0AAAD//wMAUEsDBBQABgAIAAAAIQCPk0p83wAAAAgBAAAPAAAA&#10;ZHJzL2Rvd25yZXYueG1sTI/NTsMwEITvSLyDtUhcUOsQobYJ2VSk4keCA2qBuxtvk0C8jmK3Sd4e&#10;Iw5wHM1o5ptsPZpWnKh3jWWE63kEgri0uuEK4f3tYbYC4bxirVrLhDCRg3V+fpapVNuBt3Ta+UqE&#10;EnapQqi971IpXVmTUW5uO+LgHWxvlA+yr6Tu1RDKTSvjKFpIoxoOC7XqaFNT+bU7GoTh5bm4n56u&#10;Hj+LItl+TJvk8KoSxMuL8e4WhKfR/4XhBz+gQx6Y9vbI2okWYXYThy8eYbUEEfxfvUdYLmKQeSb/&#10;H8i/AQAA//8DAFBLAQItABQABgAIAAAAIQC2gziS/gAAAOEBAAATAAAAAAAAAAAAAAAAAAAAAABb&#10;Q29udGVudF9UeXBlc10ueG1sUEsBAi0AFAAGAAgAAAAhADj9If/WAAAAlAEAAAsAAAAAAAAAAAAA&#10;AAAALwEAAF9yZWxzLy5yZWxzUEsBAi0AFAAGAAgAAAAhAArONljDAQAA5wMAAA4AAAAAAAAAAAAA&#10;AAAALgIAAGRycy9lMm9Eb2MueG1sUEsBAi0AFAAGAAgAAAAhAI+TSnzfAAAACAEAAA8AAAAAAAAA&#10;AAAAAAAAHQQAAGRycy9kb3ducmV2LnhtbFBLBQYAAAAABAAEAPMAAAApBQAAAAA=&#10;" strokecolor="black [3213]" strokeweight="1.25pt">
                <v:stroke joinstyle="miter"/>
              </v:line>
            </w:pict>
          </mc:Fallback>
        </mc:AlternateContent>
      </w:r>
      <w:r w:rsidRPr="00500D50">
        <w:rPr>
          <w:sz w:val="40"/>
          <w:szCs w:val="40"/>
        </w:rPr>
        <w:sym w:font="Wingdings" w:char="F0F0"/>
      </w:r>
    </w:p>
    <w:p w14:paraId="50DE164E" w14:textId="77777777" w:rsidR="00A449A2" w:rsidRPr="00921EE8" w:rsidRDefault="00A449A2" w:rsidP="00921EE8">
      <w:pPr>
        <w:jc w:val="both"/>
        <w:rPr>
          <w:rFonts w:ascii="Times New Roman" w:hAnsi="Times New Roman" w:cs="Times New Roman"/>
          <w:i/>
          <w:iCs/>
          <w:sz w:val="16"/>
          <w:szCs w:val="16"/>
        </w:rPr>
      </w:pPr>
    </w:p>
    <w:p w14:paraId="1C6B79E3" w14:textId="77777777" w:rsidR="00921EE8" w:rsidRPr="00921EE8" w:rsidRDefault="00921EE8" w:rsidP="00921EE8">
      <w:pPr>
        <w:rPr>
          <w:rFonts w:ascii="Times New Roman" w:hAnsi="Times New Roman" w:cs="Times New Roman"/>
          <w:b/>
          <w:bCs/>
        </w:rPr>
      </w:pPr>
      <w:r w:rsidRPr="00921EE8">
        <w:rPr>
          <w:rFonts w:ascii="Times New Roman" w:hAnsi="Times New Roman" w:cs="Times New Roman"/>
          <w:b/>
          <w:bCs/>
        </w:rPr>
        <w:t>III nodaļa</w:t>
      </w:r>
      <w:r w:rsidRPr="00921EE8">
        <w:rPr>
          <w:rFonts w:ascii="Times New Roman" w:hAnsi="Times New Roman" w:cs="Times New Roman"/>
          <w:b/>
          <w:bCs/>
        </w:rPr>
        <w:br/>
        <w:t>Elektronisko sakaru komersanta darbība, tiesības un pienākumi</w:t>
      </w:r>
    </w:p>
    <w:p w14:paraId="622FBA47" w14:textId="77777777" w:rsidR="00921EE8" w:rsidRPr="00921EE8" w:rsidRDefault="00921EE8" w:rsidP="00921EE8">
      <w:pPr>
        <w:jc w:val="both"/>
        <w:rPr>
          <w:rFonts w:ascii="Times New Roman" w:hAnsi="Times New Roman" w:cs="Times New Roman"/>
        </w:rPr>
      </w:pPr>
      <w:bookmarkStart w:id="4" w:name="p16"/>
      <w:bookmarkStart w:id="5" w:name="p-1120339"/>
      <w:bookmarkEnd w:id="4"/>
      <w:bookmarkEnd w:id="5"/>
      <w:r w:rsidRPr="00921EE8">
        <w:rPr>
          <w:rFonts w:ascii="Times New Roman" w:hAnsi="Times New Roman" w:cs="Times New Roman"/>
          <w:b/>
          <w:bCs/>
        </w:rPr>
        <w:t>16. pants. Paziņojums par darbības uzsākšanu elektronisko sakaru nozarē</w:t>
      </w:r>
    </w:p>
    <w:p w14:paraId="5C0A1434" w14:textId="77777777" w:rsidR="00921EE8" w:rsidRPr="00921EE8" w:rsidRDefault="00921EE8" w:rsidP="00921EE8">
      <w:pPr>
        <w:jc w:val="both"/>
        <w:rPr>
          <w:rFonts w:ascii="Times New Roman" w:hAnsi="Times New Roman" w:cs="Times New Roman"/>
          <w:sz w:val="20"/>
          <w:szCs w:val="20"/>
        </w:rPr>
      </w:pPr>
      <w:r w:rsidRPr="00921EE8">
        <w:rPr>
          <w:rFonts w:ascii="Times New Roman" w:hAnsi="Times New Roman" w:cs="Times New Roman"/>
          <w:sz w:val="20"/>
          <w:szCs w:val="20"/>
        </w:rPr>
        <w:t>(1) Regulators nosaka elektronisko sakaru tīklu un elektronisko sakaru pakalpojumu sarakstu. Pirms šo pakalpojumu sniegšanas uzsākšanas komersantam ir pienākums nosūtīt Regulatoram paziņojumu par darbības uzsākšanu elektronisko sakaru nozarē. Prasība nosūtīt Regulatoram paziņojumu par darbības uzsākšanu elektronisko sakaru nozarē neattiecas uz starppersonu sakaru pakalpojumu, neizmantojot numerāciju, sniedzējiem.</w:t>
      </w:r>
    </w:p>
    <w:p w14:paraId="09B5E3A3" w14:textId="77777777" w:rsidR="00921EE8" w:rsidRPr="00921EE8" w:rsidRDefault="00921EE8" w:rsidP="00921EE8">
      <w:pPr>
        <w:jc w:val="both"/>
        <w:rPr>
          <w:rFonts w:ascii="Times New Roman" w:hAnsi="Times New Roman" w:cs="Times New Roman"/>
          <w:sz w:val="20"/>
          <w:szCs w:val="20"/>
        </w:rPr>
      </w:pPr>
      <w:r w:rsidRPr="00921EE8">
        <w:rPr>
          <w:rFonts w:ascii="Times New Roman" w:hAnsi="Times New Roman" w:cs="Times New Roman"/>
          <w:sz w:val="20"/>
          <w:szCs w:val="20"/>
        </w:rPr>
        <w:t>(2) Regulators nosaka veidlapu paziņojumam par darbības uzsākšanu, paziņojumam par izmaiņām darbībā un paziņojumam par darbības izbeigšanu elektronisko sakaru nozarē, kā arī minēto paziņojumu nosūtīšanas kārtību.</w:t>
      </w:r>
    </w:p>
    <w:p w14:paraId="21EAA867" w14:textId="730558EB" w:rsidR="00921EE8" w:rsidRPr="00921EE8" w:rsidRDefault="00A449A2" w:rsidP="00921EE8">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F31205D" wp14:editId="5ED70D10">
                <wp:simplePos x="0" y="0"/>
                <wp:positionH relativeFrom="column">
                  <wp:posOffset>-390525</wp:posOffset>
                </wp:positionH>
                <wp:positionV relativeFrom="paragraph">
                  <wp:posOffset>210820</wp:posOffset>
                </wp:positionV>
                <wp:extent cx="0" cy="247650"/>
                <wp:effectExtent l="0" t="0" r="38100" b="19050"/>
                <wp:wrapNone/>
                <wp:docPr id="656954450" name="Straight Connector 2"/>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7771F8"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5pt,16.6pt" to="-30.7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afxnAEAAJMDAAAOAAAAZHJzL2Uyb0RvYy54bWysU9uO0zAQfUfiHyy/b5NWy4KipvuwK3hB&#10;sOLyAV5n3FjyTWPTpH/PeNqmCJBWQrw4vsw5M+fMZHs/eycOgNnG0Mv1qpUCgo6DDftefv/2/uad&#10;FLmoMCgXA/TyCFne716/2k6pg00coxsABZGE3E2pl2MpqWuarEfwKq9igkCPJqJXhY64bwZUE7F7&#10;12za9q6ZIg4Jo4ac6fbx9Ch3zG8M6PLZmAxFuF5SbYVX5PW5rs1uq7o9qjRafS5D/UMVXtlASReq&#10;R1WU+IH2DypvNcYcTVnp6JtojNXAGkjNuv1NzddRJWAtZE5Oi035/9HqT4eH8IRkw5Ryl9MTVhWz&#10;QV+/VJ+Y2azjYhbMRejTpabbze3buzfsY3PFJczlA0Qv6qaXzoYqQ3Xq8DEXykWhlxA6XDPzrhwd&#10;1GAXvoARdqBcG0bzUMCDQ3FQ1E6lNYSyri0kPo6uMGOdW4Dty8BzfIUCD8wCXr8MXhCcOYaygL0N&#10;Ef9GUOZLyeYUf3HgpLta8ByHI/eEraHOs8LzlNbR+vXM8Ou/tPsJAAD//wMAUEsDBBQABgAIAAAA&#10;IQCVZEdM3AAAAAkBAAAPAAAAZHJzL2Rvd25yZXYueG1sTI/BTsMwDIbvk3iHyEjctnSdGKg0naAI&#10;cUFCdIiz15imInGqJuvK2xPEgR1tf/r9/eVudlZMNIbes4L1KgNB3Hrdc6fgff+0vAURIrJG65kU&#10;fFOAXXWxKLHQ/sRvNDWxEymEQ4EKTIxDIWVoDTkMKz8Qp9unHx3GNI6d1COeUrizMs+yrXTYc/pg&#10;cKDaUPvVHJ0C+SIfnv2r9R91b5z1+2bCx1qpq8v5/g5EpDn+w/Crn9ShSk4Hf2QdhFWw3K6vE6pg&#10;s8lBJOBvcVBwk+cgq1KeN6h+AAAA//8DAFBLAQItABQABgAIAAAAIQC2gziS/gAAAOEBAAATAAAA&#10;AAAAAAAAAAAAAAAAAABbQ29udGVudF9UeXBlc10ueG1sUEsBAi0AFAAGAAgAAAAhADj9If/WAAAA&#10;lAEAAAsAAAAAAAAAAAAAAAAALwEAAF9yZWxzLy5yZWxzUEsBAi0AFAAGAAgAAAAhAHvtp/GcAQAA&#10;kwMAAA4AAAAAAAAAAAAAAAAALgIAAGRycy9lMm9Eb2MueG1sUEsBAi0AFAAGAAgAAAAhAJVkR0zc&#10;AAAACQEAAA8AAAAAAAAAAAAAAAAA9gMAAGRycy9kb3ducmV2LnhtbFBLBQYAAAAABAAEAPMAAAD/&#10;BAAAAAA=&#10;" strokecolor="#156082 [3204]" strokeweight="1.5pt">
                <v:stroke joinstyle="miter"/>
              </v:line>
            </w:pict>
          </mc:Fallback>
        </mc:AlternateContent>
      </w:r>
      <w:r w:rsidR="00921EE8" w:rsidRPr="00921EE8">
        <w:rPr>
          <w:rFonts w:ascii="Times New Roman" w:hAnsi="Times New Roman" w:cs="Times New Roman"/>
        </w:rPr>
        <w:t>(3) Komersants kļūst par elektronisko sakaru komersantu un iegūst tiesības sniegt elektronisko sakaru pakalpojumu un nodrošināt elektronisko sakaru tīklu tikai pēc tam, kad Regulators ir saņēmis paziņojumu par darbības uzsākšanu elektronisko sakaru nozarē. Paziņojums par darbības uzsākšanu elektronisko sakaru nozarē uzskatāms par iesniegtu dienā, kad Regulators saņēmis visu paziņojumā par darbības uzsākšanu elektronisko sakaru nozarē iekļaujamo informāciju. Regulators nedēļas laikā pēc minētā paziņojuma saņemšanas nosūta apstiprinājumu par tā saņemšanu un informē elektronisko sakaru komersantu par vispārējo atļauju.</w:t>
      </w:r>
    </w:p>
    <w:p w14:paraId="424B3622"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 xml:space="preserve">(4) Regulators, izmantojot elektroniskus līdzekļus, nosūta </w:t>
      </w:r>
      <w:r w:rsidRPr="00A449A2">
        <w:rPr>
          <w:rFonts w:ascii="Times New Roman" w:hAnsi="Times New Roman" w:cs="Times New Roman"/>
          <w:i/>
          <w:iCs/>
          <w:sz w:val="20"/>
          <w:szCs w:val="20"/>
        </w:rPr>
        <w:t>BEREC</w:t>
      </w:r>
      <w:r w:rsidRPr="00A449A2">
        <w:rPr>
          <w:rFonts w:ascii="Times New Roman" w:hAnsi="Times New Roman" w:cs="Times New Roman"/>
          <w:sz w:val="20"/>
          <w:szCs w:val="20"/>
        </w:rPr>
        <w:t xml:space="preserve"> saņemto paziņojumu par darbības uzsākšanu elektronisko sakaru nozarē un paziņojumu par tajā veiktajām izmaiņām.</w:t>
      </w:r>
    </w:p>
    <w:p w14:paraId="44EDA98B" w14:textId="77777777" w:rsidR="00921EE8" w:rsidRPr="00921EE8" w:rsidRDefault="00921EE8" w:rsidP="00921EE8">
      <w:pPr>
        <w:jc w:val="both"/>
        <w:rPr>
          <w:rFonts w:ascii="Times New Roman" w:hAnsi="Times New Roman" w:cs="Times New Roman"/>
        </w:rPr>
      </w:pPr>
      <w:bookmarkStart w:id="6" w:name="p17"/>
      <w:bookmarkStart w:id="7" w:name="p-1120340"/>
      <w:bookmarkStart w:id="8" w:name="p19"/>
      <w:bookmarkStart w:id="9" w:name="p-1498897"/>
      <w:bookmarkEnd w:id="6"/>
      <w:bookmarkEnd w:id="7"/>
      <w:bookmarkEnd w:id="8"/>
      <w:bookmarkEnd w:id="9"/>
      <w:r w:rsidRPr="00921EE8">
        <w:rPr>
          <w:rFonts w:ascii="Times New Roman" w:hAnsi="Times New Roman" w:cs="Times New Roman"/>
          <w:b/>
          <w:bCs/>
        </w:rPr>
        <w:lastRenderedPageBreak/>
        <w:t>19. pants. Elektronisko sakaru komersanta tiesības un pienākumi</w:t>
      </w:r>
    </w:p>
    <w:p w14:paraId="6C8E064C"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 Elektronisko sakaru komersantam ir šādas tiesības:</w:t>
      </w:r>
    </w:p>
    <w:p w14:paraId="1F94726B"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 nodrošināt elektronisko sakaru pakalpojumus;</w:t>
      </w:r>
    </w:p>
    <w:p w14:paraId="1CF6406D"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2) nodrošināt elektronisko sakaru tīklu;</w:t>
      </w:r>
    </w:p>
    <w:p w14:paraId="2E124900"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3) pieprasīt ierobežotas radiofrekvenču joslas un numerācijas lietošanas tiesības;</w:t>
      </w:r>
    </w:p>
    <w:p w14:paraId="0E874FB5"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4) risināt sarunas par starpsavienojuma līguma noslēgšanu;</w:t>
      </w:r>
    </w:p>
    <w:p w14:paraId="780989E6"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5) veicot anonimizēšanu, apstrādāt noslodzes datus un atrašanās vietas datus sabiedrībai nozīmīgu viedo inovāciju izpētei un attīstībai;</w:t>
      </w:r>
    </w:p>
    <w:p w14:paraId="20FC30C5"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6) ar tam pieejamiem tehnoloģiskajiem risinājumiem veikt papildu pasākumus, lai ierobežotu piekļuvi Latvijā nelicencēta interaktīvo azartspēļu vai interaktīvo izložu organizētāja domēna vārdam vai interneta protokola (IP) adresei.</w:t>
      </w:r>
    </w:p>
    <w:p w14:paraId="05E7C4EB"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(2) Elektronisko sakaru komersantam ir šādi pienākumi:</w:t>
      </w:r>
    </w:p>
    <w:p w14:paraId="277A2C8F"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 Regulatora noteiktajā termiņā, apjomā un detalizācijas līmenī sniegt informāciju, kas nepieciešama Regulatora funkciju izpildei (arī tādu informāciju, kas ietver komercnoslēpumu), tai skaitā informāciju, kas nepieciešama ģeogrāfiskajai apsekošanai;</w:t>
      </w:r>
    </w:p>
    <w:p w14:paraId="150C44D7"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2) ievērot ierobežotas radiofrekvenču joslas un numerācijas lietošanas tiesību specifiskos nosacījumus;</w:t>
      </w:r>
    </w:p>
    <w:p w14:paraId="12B9AC3F"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3) nodrošināt, ka tā starppersonu sakaru pakalpojuma, izmantojot numerāciju, galalietotājs var sazināties ar cita elektronisko sakaru tīkla starppersonu sakaru pakalpojuma, izmantojot numerāciju, galalietotāju Eiropas Savienībā, kā arī iespēju piekļūt visiem Eiropas Savienības numuriem un vispārējiem starptautiskajiem bezmaksas numuriem (UIFN), ja tas ir tehniski iespējams un saimnieciski rentabli;</w:t>
      </w:r>
    </w:p>
    <w:p w14:paraId="7811B2F1"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4) publiskot savā tīmekļvietnē piemērojamos elektronisko sakaru tīkla pieslēguma punkta tehniskos parametrus tādā detalizācijas līmenī, lai galalietotājs varētu izvēlēties atbilstošu galiekārtu un ražotājs varētu izgatavot nepieciešamo galiekārtu, kura nodrošinātu elektronisko sakaru pakalpojumu saņemšanu pieslēguma punktā;</w:t>
      </w:r>
    </w:p>
    <w:p w14:paraId="5A0AC162"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5) saskaņā ar Satversmes aizsardzības biroja direktora rakstveida pieprasījumu par saviem līdzekļiem ierīkot, uzturēt, papildināt un pārveidot atbilstoši jaunieviestajām funkcionalitātēm pārtveršanas punktu (punktus), kas pēc operatīvās darbības subjekta vadītāja rakstveida pieprasījuma bez atlīdzības nododams tā lietošanā operatīvās darbības pasākumu un kriminālprocesuālo darbību veikšanai;</w:t>
      </w:r>
    </w:p>
    <w:p w14:paraId="69A9B3ED"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6) pēc Satversmes aizsardzības biroja pieprasījuma sniegt informāciju par tā īpašumā vai tiesiskajā valdījumā esošajā mobilo sakaru tīklā vai atsevišķās tā daļās izmantoto aprīkojumu, programmatūru un ārpakalpojumiem;</w:t>
      </w:r>
    </w:p>
    <w:p w14:paraId="2E687772"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7) Ministru kabineta noteiktajā kārtībā nodrošināt sabiedrību ar ierobežotu atbildību "Elektroniskie sakari" ar numerācijas datubāzes uzturēšanai nepieciešamo informāciju, tai skaitā ar informāciju par tiem galalietotāja lietošanā nodotajiem numuriem, kurus galalietotājs ir saglabājis, saņemot numura saglabāšanas pakalpojumu;</w:t>
      </w:r>
    </w:p>
    <w:p w14:paraId="78BB1CEA"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8) veikt tehniskus un organizatoriskus pasākumus attiecībā uz elektronisko sakaru tīkla drošību tā galalietotāju datu aizsardzībai, kā arī konkrēta elektronisko sakaru tīkla drošības apdraudējuma gadījumā informēt galalietotājus par elektronisko sakaru tīkla lietošanas riskiem un pieejamiem tiesiskās aizsardzības līdzekļiem šo risku mazināšanai;</w:t>
      </w:r>
    </w:p>
    <w:p w14:paraId="3D51284E"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 xml:space="preserve">9) individuāli informēt galalietotāju par iespēju uzstādīt interneta satura filtru, kas ierobežo tādu materiālu pieejamību, kuros propagandēta cietsirdīga uzvedība, vardarbība, erotika, pornogrāfija un kuri </w:t>
      </w:r>
      <w:r w:rsidRPr="00A449A2">
        <w:rPr>
          <w:rFonts w:ascii="Times New Roman" w:hAnsi="Times New Roman" w:cs="Times New Roman"/>
          <w:sz w:val="20"/>
          <w:szCs w:val="20"/>
        </w:rPr>
        <w:lastRenderedPageBreak/>
        <w:t>apdraud bērna garīgo attīstību, kā arī nodrošināt bezmaksas interneta satura filtra uzstādīšanu, ja galalietotājs to pieprasa;</w:t>
      </w:r>
    </w:p>
    <w:p w14:paraId="6D84165E"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10) ja elektronisko sakaru komersants nodrošina publisko elektronisko sakaru tīklu, — veikt tehniskus un organizatoriskus pasākumus attiecīgo elektronisko sakaru tīklu integritātes nodrošināšanai, tīklu un pakalpojumu drošības apdraudējumu pārvarēšanai un sadarboties ar Informācijas tehnoloģiju drošības incidentu novēršanas institūciju atbilstoši Informācijas tehnoloģiju drošības likumam;</w:t>
      </w:r>
    </w:p>
    <w:p w14:paraId="7F5B12C6"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11) ja elektronisko sakaru komersants nodrošina publisko elektronisko sakaru tīklu, — nodrošināt galalietotājiem bezmaksas ārkārtas gadījuma saziņu ar ārkārtas palīdzības dienestiem (Valsts ugunsdzēsības un glābšanas dienestu, Valsts policiju, Neatliekamās medicīniskās palīdzības dienestu, Gāzes avārijas dienestu, Nacionālo bruņoto spēku Jūras spēku Krasta apsardzes dienesta Jūras meklēšanas un glābšanas koordinācijas centru (turpmāk — Jūras meklēšanas un glābšanas koordinācijas centrs)), kā arī bezmaksas izsaukuma un īsziņas nosūtīšanu uz vienoto ārkārtas palīdzības izsaukuma numuru "112";</w:t>
      </w:r>
    </w:p>
    <w:p w14:paraId="63EC353B"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12) šīs daļas 11. punktā minētajos gadījumos tehnisko iespēju robežās nodrošināt izsaucēja atrašanās vietas noteikšanu un šo datu bezmaksas nodošanu Iekšlietu ministrijas Informācijas centram. Ministru kabinets nosaka izsaucēja atrašanās vietas datu noteikšanas un nodošanas kārtību, kā arī to glabāšanas termiņus;</w:t>
      </w:r>
    </w:p>
    <w:p w14:paraId="77C309A6"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 xml:space="preserve">13) ja elektronisko sakaru komersants nodrošina publisko mobilo elektronisko sakaru tīklu, kurā saskaņā ar Komisijas 2012. gada 26. novembra deleģētās regulas (ES) Nr. </w:t>
      </w:r>
      <w:hyperlink r:id="rId8" w:tgtFrame="_blank" w:history="1">
        <w:r w:rsidRPr="00A449A2">
          <w:rPr>
            <w:rStyle w:val="Hyperlink"/>
            <w:rFonts w:ascii="Times New Roman" w:hAnsi="Times New Roman" w:cs="Times New Roman"/>
            <w:color w:val="auto"/>
            <w:sz w:val="20"/>
            <w:szCs w:val="20"/>
            <w:u w:val="none"/>
          </w:rPr>
          <w:t>305/2013</w:t>
        </w:r>
      </w:hyperlink>
      <w:r w:rsidRPr="00A449A2">
        <w:rPr>
          <w:rFonts w:ascii="Times New Roman" w:hAnsi="Times New Roman" w:cs="Times New Roman"/>
          <w:sz w:val="20"/>
          <w:szCs w:val="20"/>
        </w:rPr>
        <w:t xml:space="preserve">, ar ko Eiropas Parlamenta un Padomes direktīvu </w:t>
      </w:r>
      <w:hyperlink r:id="rId9" w:tgtFrame="_blank" w:history="1">
        <w:r w:rsidRPr="00A449A2">
          <w:rPr>
            <w:rStyle w:val="Hyperlink"/>
            <w:rFonts w:ascii="Times New Roman" w:hAnsi="Times New Roman" w:cs="Times New Roman"/>
            <w:color w:val="auto"/>
            <w:sz w:val="20"/>
            <w:szCs w:val="20"/>
            <w:u w:val="none"/>
          </w:rPr>
          <w:t>2010/40/ES</w:t>
        </w:r>
      </w:hyperlink>
      <w:r w:rsidRPr="00A449A2">
        <w:rPr>
          <w:rFonts w:ascii="Times New Roman" w:hAnsi="Times New Roman" w:cs="Times New Roman"/>
          <w:sz w:val="20"/>
          <w:szCs w:val="20"/>
        </w:rPr>
        <w:t xml:space="preserve"> papildina attiecībā uz sadarbspējīga ES mēroga </w:t>
      </w:r>
      <w:r w:rsidRPr="00A449A2">
        <w:rPr>
          <w:rFonts w:ascii="Times New Roman" w:hAnsi="Times New Roman" w:cs="Times New Roman"/>
          <w:i/>
          <w:iCs/>
          <w:sz w:val="20"/>
          <w:szCs w:val="20"/>
        </w:rPr>
        <w:t>eCall</w:t>
      </w:r>
      <w:r w:rsidRPr="00A449A2">
        <w:rPr>
          <w:rFonts w:ascii="Times New Roman" w:hAnsi="Times New Roman" w:cs="Times New Roman"/>
          <w:sz w:val="20"/>
          <w:szCs w:val="20"/>
        </w:rPr>
        <w:t xml:space="preserve"> pakalpojuma saskaņotu nodrošināšanu 3. panta 1. punkta nosacījumiem ir iespējams ārkārtas zvans (eZvans) bez maksas:</w:t>
      </w:r>
    </w:p>
    <w:p w14:paraId="105610C1"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a) nodrošināt ārkārtas zvana (eZvana) identifikāciju publisko mobilo elektronisko sakaru tīklos,</w:t>
      </w:r>
    </w:p>
    <w:p w14:paraId="50CD81DF"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b) nodrošināt ārkārtas zvana (eZvana) izsaukuma maršrutēšanu uz vienoto ārkārtas palīdzības izsaukuma numuru "112";</w:t>
      </w:r>
    </w:p>
    <w:p w14:paraId="76FC25F8"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14) elektronisko sakaru tīkla darbības pārrāvumu gadījumā vai nepārvaramas varas (</w:t>
      </w:r>
      <w:r w:rsidRPr="00A449A2">
        <w:rPr>
          <w:rFonts w:ascii="Times New Roman" w:hAnsi="Times New Roman" w:cs="Times New Roman"/>
          <w:i/>
          <w:iCs/>
          <w:sz w:val="20"/>
          <w:szCs w:val="20"/>
        </w:rPr>
        <w:t>force majeure</w:t>
      </w:r>
      <w:r w:rsidRPr="00A449A2">
        <w:rPr>
          <w:rFonts w:ascii="Times New Roman" w:hAnsi="Times New Roman" w:cs="Times New Roman"/>
          <w:sz w:val="20"/>
          <w:szCs w:val="20"/>
        </w:rPr>
        <w:t>) apstākļos nodrošināt galalietotājiem pēc iespējas pilnīgāku piekļuvi balss sakaru pakalpojumiem un interneta piekļuves pakalpojumiem;</w:t>
      </w:r>
    </w:p>
    <w:p w14:paraId="424992C1"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15) ja elektronisko sakaru komersants nodrošina publisko mobilo elektronisko sakaru tīklu, — pēc tam, kad saņemts Ārlietu ministrijas paziņojums par katastrofu, kas saistīta ar personas dzīvības vai veselības apdraudējumu, vai katastrofas draudiem, pēc iespējas ātrāk nosūtīt uz galiekārtu saviem galalietotājiem attiecīgajā valstī Ārlietu ministrijas sagatavoto informāciju par attiecīgajā situācijā iespējamo rīcību;</w:t>
      </w:r>
    </w:p>
    <w:p w14:paraId="1B8FD31A"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16) ja elektronisko sakaru komersants nodrošina publisko mobilo elektronisko sakaru tīklu, — nodrošināt publisko mobilo elektronisko sakaru tīklu un tajā izmantoto iekārtu, programmatūru un ārpakalpojumu atbilstību drošības prasībām saskaņā ar šā likuma 8. panta noteikumiem;</w:t>
      </w:r>
    </w:p>
    <w:p w14:paraId="77A24FE1"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17) ja elektronisko sakaru komersants nodrošina publisko mobilo elektronisko sakaru tīklu, — pēc tam, kad saņemts Valsts ugunsdzēsības un glābšanas dienesta paziņojums par katastrofu, kas saistīta ar personas dzīvības, veselības vai īpašuma apdraudējumu, vai katastrofas draudiem, pēc iespējas ātrāk nosūtīt uz galiekārtu saviem galalietotājiem Valsts ugunsdzēsības un glābšanas dienesta sagatavoto informāciju par attiecīgajā situācijā nepieciešamo rīcību;</w:t>
      </w:r>
    </w:p>
    <w:p w14:paraId="28DF56DD"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18) nodrošināt elektronisko sakaru pakalpojuma darbībā papildu funkcijas, kas paredzētas, lai apmierinātu personu ar invaliditāti vajadzības un nodrošinātu sadarbspēju ar palīgtehnoloģijām:</w:t>
      </w:r>
    </w:p>
    <w:p w14:paraId="1B1413F6"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a) papildus balss saziņai nodrošinot reāllaika tekstu,</w:t>
      </w:r>
    </w:p>
    <w:p w14:paraId="6C4E7644"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b) nodrošinot vispusīgās sarunas pakalpojumu, ja papildus balss saziņai ir nodrošināts video,</w:t>
      </w:r>
    </w:p>
    <w:p w14:paraId="191C0DDC"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lastRenderedPageBreak/>
        <w:t>c) nodrošinot, ka ārkārtas gadījuma saziņu, kurā izmanto balsi un tekstu (tostarp reāllaika tekstu), sinhronizē un, ja tiek izmantots video, to sinhronizē kā vispusīgo sarunu un pārsūta ārkārtas izsaukumu centrālei;</w:t>
      </w:r>
    </w:p>
    <w:p w14:paraId="644C6DD6"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19) ja elektronisko sakaru komersants nodrošina publisko mobilo elektronisko sakaru tīklu, — pēc kompetento iestāžu pieprasījuma sniegt informāciju, kas nepieciešama to tīklu un pakalpojumu drošības novērtēšanai;</w:t>
      </w:r>
    </w:p>
    <w:p w14:paraId="631E9E6E"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20) ja elektronisko sakaru komersants nodrošina publisko mobilo elektronisko sakaru tīklu, — pēc kompetento iestāžu pieprasījuma, ja ir aizdomas vai ir konstatēti drošības pārkāpumi, organizēt drošības auditu, ko veic ar šā likuma 8. pantā noteikto kompetento iestādi saskaņots kvalificēts un no iesaistītajām pusēm neatkarīgs tiesību subjekts. Par audita rezultātiem informē kompetento iestādi. Audita izmaksas sedz un auditā konstatētos pārkāpumus novērš elektronisko sakaru komersants, kas nodrošina publisko mobilo elektronisko sakaru tīklu;</w:t>
      </w:r>
    </w:p>
    <w:p w14:paraId="28B0CD2F"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 xml:space="preserve">21) reizi gadā līdz 1. martam iesniegt Regulatoram pārskatu par to, kādas vienošanās iepriekšējā kalendāra gadā noslēgtas ar juridiskajām personām, kas minētas Eiropas Parlamenta un Padomes 2024. gada 29. aprīļa regulas (ES) </w:t>
      </w:r>
      <w:hyperlink r:id="rId10" w:tgtFrame="_blank" w:history="1">
        <w:r w:rsidRPr="00A449A2">
          <w:rPr>
            <w:rStyle w:val="Hyperlink"/>
            <w:rFonts w:ascii="Times New Roman" w:hAnsi="Times New Roman" w:cs="Times New Roman"/>
            <w:color w:val="auto"/>
            <w:sz w:val="20"/>
            <w:szCs w:val="20"/>
            <w:u w:val="none"/>
          </w:rPr>
          <w:t>2024/1309</w:t>
        </w:r>
      </w:hyperlink>
      <w:r w:rsidRPr="00A449A2">
        <w:rPr>
          <w:rFonts w:ascii="Times New Roman" w:hAnsi="Times New Roman" w:cs="Times New Roman"/>
          <w:sz w:val="20"/>
          <w:szCs w:val="20"/>
        </w:rPr>
        <w:t xml:space="preserve"> par gigabitisku elektronisko sakaru tīklu ierīkošanas izmaksu samazināšanas pasākumiem, regulas (ES) </w:t>
      </w:r>
      <w:hyperlink r:id="rId11" w:tgtFrame="_blank" w:history="1">
        <w:r w:rsidRPr="00A449A2">
          <w:rPr>
            <w:rStyle w:val="Hyperlink"/>
            <w:rFonts w:ascii="Times New Roman" w:hAnsi="Times New Roman" w:cs="Times New Roman"/>
            <w:color w:val="auto"/>
            <w:sz w:val="20"/>
            <w:szCs w:val="20"/>
            <w:u w:val="none"/>
          </w:rPr>
          <w:t>2015/2120</w:t>
        </w:r>
      </w:hyperlink>
      <w:r w:rsidRPr="00A449A2">
        <w:rPr>
          <w:rFonts w:ascii="Times New Roman" w:hAnsi="Times New Roman" w:cs="Times New Roman"/>
          <w:sz w:val="20"/>
          <w:szCs w:val="20"/>
        </w:rPr>
        <w:t xml:space="preserve"> grozīšanu un direktīvas </w:t>
      </w:r>
      <w:hyperlink r:id="rId12" w:tgtFrame="_blank" w:history="1">
        <w:r w:rsidRPr="00A449A2">
          <w:rPr>
            <w:rStyle w:val="Hyperlink"/>
            <w:rFonts w:ascii="Times New Roman" w:hAnsi="Times New Roman" w:cs="Times New Roman"/>
            <w:color w:val="auto"/>
            <w:sz w:val="20"/>
            <w:szCs w:val="20"/>
            <w:u w:val="none"/>
          </w:rPr>
          <w:t>2014/61/ES</w:t>
        </w:r>
      </w:hyperlink>
      <w:r w:rsidRPr="00A449A2">
        <w:rPr>
          <w:rFonts w:ascii="Times New Roman" w:hAnsi="Times New Roman" w:cs="Times New Roman"/>
          <w:sz w:val="20"/>
          <w:szCs w:val="20"/>
        </w:rPr>
        <w:t xml:space="preserve"> atcelšanu (Gigabitiskās infrastruktūras akts) 3. panta 2. punkta pirmajā daļā, par piekļuvi zemes īpašumam ļoti augstas veiktspējas tīkla elementu ierīkošanai, iekļaujot informāciju par saskaņoto cenu.</w:t>
      </w:r>
    </w:p>
    <w:p w14:paraId="21BC5B25"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(3) Elektronisko sakaru komersants, kas sniedz balss sakaru pakalpojumu, papildus šā panta otrajā daļā noteiktajam nodrošina:</w:t>
      </w:r>
    </w:p>
    <w:p w14:paraId="52015077"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 sava elektronisko sakaru tīkla galalietotājam piekļuvi operatora palīdzības pakalpojumiem;</w:t>
      </w:r>
    </w:p>
    <w:p w14:paraId="1778BDA6"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2) galalietotājiem bezmaksas izsaukumus uz Eiropas elektronisko sakaru pakalpojumu īsajiem numuriem "116XXX";</w:t>
      </w:r>
    </w:p>
    <w:p w14:paraId="0E1049AC"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3) galalietotājiem nepārtrauktu iespēju sazināties ar ārkārtas palīdzības dienestiem un nepārtrauktu iespēju saņemt galalietotājam adresētu sabiedrībai paredzētu brīdinājumu.</w:t>
      </w:r>
    </w:p>
    <w:p w14:paraId="21E70016"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(4) Ja Regulators konstatē, ka elektronisko sakaru tirgū patērētājiem nav pieejami attiecīgi tarifu plāni, elektronisko sakaru komersantam, kas sniedz platjoslas interneta piekļuves pakalpojumu, papildus šā panta otrajā daļā noteiktajam ir pienākums nodrošināt patērētājiem vismaz vienu tarifu plānu, kura maksimālā cena nepārsniedz Centrālās statistikas pārvaldes publicētos 1. kvintilē ietilpstošo mājsaimniecību patēriņa izdevumus par sakaru pakalpojumiem, kuri ir publicēti arī Regulatora tīmekļvietnē un kuros ir iekļauts platjoslas interneta piekļuves pakalpojums ar pārraides ātrumu, kas ir pietiekams, lai nodrošinātu patērētājam piekļuvi vismaz šādam pakalpojumu apjomam:</w:t>
      </w:r>
    </w:p>
    <w:p w14:paraId="35FB131A" w14:textId="77777777" w:rsidR="00921EE8" w:rsidRPr="00A449A2" w:rsidRDefault="00921EE8" w:rsidP="00A449A2">
      <w:pPr>
        <w:spacing w:after="0"/>
        <w:jc w:val="both"/>
        <w:rPr>
          <w:rFonts w:ascii="Times New Roman" w:hAnsi="Times New Roman" w:cs="Times New Roman"/>
          <w:sz w:val="20"/>
          <w:szCs w:val="20"/>
        </w:rPr>
      </w:pPr>
      <w:r w:rsidRPr="00A449A2">
        <w:rPr>
          <w:rFonts w:ascii="Times New Roman" w:hAnsi="Times New Roman" w:cs="Times New Roman"/>
          <w:sz w:val="20"/>
          <w:szCs w:val="20"/>
        </w:rPr>
        <w:t>1) elektroniskais pasts;</w:t>
      </w:r>
    </w:p>
    <w:p w14:paraId="7C188E61" w14:textId="77777777" w:rsidR="00921EE8" w:rsidRPr="00A449A2" w:rsidRDefault="00921EE8" w:rsidP="00A449A2">
      <w:pPr>
        <w:spacing w:after="0"/>
        <w:jc w:val="both"/>
        <w:rPr>
          <w:rFonts w:ascii="Times New Roman" w:hAnsi="Times New Roman" w:cs="Times New Roman"/>
          <w:sz w:val="20"/>
          <w:szCs w:val="20"/>
        </w:rPr>
      </w:pPr>
      <w:r w:rsidRPr="00A449A2">
        <w:rPr>
          <w:rFonts w:ascii="Times New Roman" w:hAnsi="Times New Roman" w:cs="Times New Roman"/>
          <w:sz w:val="20"/>
          <w:szCs w:val="20"/>
        </w:rPr>
        <w:t>2) meklētājprogrammas, kas ļauj meklēt un atrast visu veidu informāciju;</w:t>
      </w:r>
    </w:p>
    <w:p w14:paraId="551B1972" w14:textId="77777777" w:rsidR="00921EE8" w:rsidRPr="00A449A2" w:rsidRDefault="00921EE8" w:rsidP="00A449A2">
      <w:pPr>
        <w:spacing w:after="0"/>
        <w:jc w:val="both"/>
        <w:rPr>
          <w:rFonts w:ascii="Times New Roman" w:hAnsi="Times New Roman" w:cs="Times New Roman"/>
          <w:sz w:val="20"/>
          <w:szCs w:val="20"/>
        </w:rPr>
      </w:pPr>
      <w:r w:rsidRPr="00A449A2">
        <w:rPr>
          <w:rFonts w:ascii="Times New Roman" w:hAnsi="Times New Roman" w:cs="Times New Roman"/>
          <w:sz w:val="20"/>
          <w:szCs w:val="20"/>
        </w:rPr>
        <w:t>3) mācību un izglītības pamatrīki tiešsaistē;</w:t>
      </w:r>
    </w:p>
    <w:p w14:paraId="0BAC0E26" w14:textId="77777777" w:rsidR="00921EE8" w:rsidRPr="00A449A2" w:rsidRDefault="00921EE8" w:rsidP="00A449A2">
      <w:pPr>
        <w:spacing w:after="0"/>
        <w:jc w:val="both"/>
        <w:rPr>
          <w:rFonts w:ascii="Times New Roman" w:hAnsi="Times New Roman" w:cs="Times New Roman"/>
          <w:sz w:val="20"/>
          <w:szCs w:val="20"/>
        </w:rPr>
      </w:pPr>
      <w:r w:rsidRPr="00A449A2">
        <w:rPr>
          <w:rFonts w:ascii="Times New Roman" w:hAnsi="Times New Roman" w:cs="Times New Roman"/>
          <w:sz w:val="20"/>
          <w:szCs w:val="20"/>
        </w:rPr>
        <w:t>4) laikraksti vai ziņas tiešsaistē;</w:t>
      </w:r>
    </w:p>
    <w:p w14:paraId="62A77236" w14:textId="77777777" w:rsidR="00921EE8" w:rsidRPr="00A449A2" w:rsidRDefault="00921EE8" w:rsidP="00A449A2">
      <w:pPr>
        <w:spacing w:after="0"/>
        <w:jc w:val="both"/>
        <w:rPr>
          <w:rFonts w:ascii="Times New Roman" w:hAnsi="Times New Roman" w:cs="Times New Roman"/>
          <w:sz w:val="20"/>
          <w:szCs w:val="20"/>
        </w:rPr>
      </w:pPr>
      <w:r w:rsidRPr="00A449A2">
        <w:rPr>
          <w:rFonts w:ascii="Times New Roman" w:hAnsi="Times New Roman" w:cs="Times New Roman"/>
          <w:sz w:val="20"/>
          <w:szCs w:val="20"/>
        </w:rPr>
        <w:t>5) preču un pakalpojumu iegāde vai pasūtījumi tiešsaistē;</w:t>
      </w:r>
    </w:p>
    <w:p w14:paraId="4CD57A7A" w14:textId="77777777" w:rsidR="00921EE8" w:rsidRPr="00A449A2" w:rsidRDefault="00921EE8" w:rsidP="00A449A2">
      <w:pPr>
        <w:spacing w:after="0"/>
        <w:jc w:val="both"/>
        <w:rPr>
          <w:rFonts w:ascii="Times New Roman" w:hAnsi="Times New Roman" w:cs="Times New Roman"/>
          <w:sz w:val="20"/>
          <w:szCs w:val="20"/>
        </w:rPr>
      </w:pPr>
      <w:r w:rsidRPr="00A449A2">
        <w:rPr>
          <w:rFonts w:ascii="Times New Roman" w:hAnsi="Times New Roman" w:cs="Times New Roman"/>
          <w:sz w:val="20"/>
          <w:szCs w:val="20"/>
        </w:rPr>
        <w:t>6) darba meklēšana un darba meklēšanas rīki;</w:t>
      </w:r>
    </w:p>
    <w:p w14:paraId="34C873A3" w14:textId="77777777" w:rsidR="00921EE8" w:rsidRPr="00A449A2" w:rsidRDefault="00921EE8" w:rsidP="00A449A2">
      <w:pPr>
        <w:spacing w:after="0"/>
        <w:jc w:val="both"/>
        <w:rPr>
          <w:rFonts w:ascii="Times New Roman" w:hAnsi="Times New Roman" w:cs="Times New Roman"/>
          <w:sz w:val="20"/>
          <w:szCs w:val="20"/>
        </w:rPr>
      </w:pPr>
      <w:r w:rsidRPr="00A449A2">
        <w:rPr>
          <w:rFonts w:ascii="Times New Roman" w:hAnsi="Times New Roman" w:cs="Times New Roman"/>
          <w:sz w:val="20"/>
          <w:szCs w:val="20"/>
        </w:rPr>
        <w:t>7) profesionālo kontaktu veidošana;</w:t>
      </w:r>
    </w:p>
    <w:p w14:paraId="0908FB7A" w14:textId="77777777" w:rsidR="00921EE8" w:rsidRPr="00A449A2" w:rsidRDefault="00921EE8" w:rsidP="00A449A2">
      <w:pPr>
        <w:spacing w:after="0"/>
        <w:jc w:val="both"/>
        <w:rPr>
          <w:rFonts w:ascii="Times New Roman" w:hAnsi="Times New Roman" w:cs="Times New Roman"/>
          <w:sz w:val="20"/>
          <w:szCs w:val="20"/>
        </w:rPr>
      </w:pPr>
      <w:r w:rsidRPr="00A449A2">
        <w:rPr>
          <w:rFonts w:ascii="Times New Roman" w:hAnsi="Times New Roman" w:cs="Times New Roman"/>
          <w:sz w:val="20"/>
          <w:szCs w:val="20"/>
        </w:rPr>
        <w:t>8) internetbankas pakalpojumi;</w:t>
      </w:r>
    </w:p>
    <w:p w14:paraId="38A420D5" w14:textId="77777777" w:rsidR="00921EE8" w:rsidRPr="00A449A2" w:rsidRDefault="00921EE8" w:rsidP="00A449A2">
      <w:pPr>
        <w:spacing w:after="0"/>
        <w:jc w:val="both"/>
        <w:rPr>
          <w:rFonts w:ascii="Times New Roman" w:hAnsi="Times New Roman" w:cs="Times New Roman"/>
          <w:sz w:val="20"/>
          <w:szCs w:val="20"/>
        </w:rPr>
      </w:pPr>
      <w:r w:rsidRPr="00A449A2">
        <w:rPr>
          <w:rFonts w:ascii="Times New Roman" w:hAnsi="Times New Roman" w:cs="Times New Roman"/>
          <w:sz w:val="20"/>
          <w:szCs w:val="20"/>
        </w:rPr>
        <w:t>9) elektroniskās pārvaldes pakalpojumi;</w:t>
      </w:r>
    </w:p>
    <w:p w14:paraId="0B8C56FC" w14:textId="77777777" w:rsidR="00921EE8" w:rsidRPr="00A449A2" w:rsidRDefault="00921EE8" w:rsidP="00A449A2">
      <w:pPr>
        <w:spacing w:after="0"/>
        <w:jc w:val="both"/>
        <w:rPr>
          <w:rFonts w:ascii="Times New Roman" w:hAnsi="Times New Roman" w:cs="Times New Roman"/>
          <w:sz w:val="20"/>
          <w:szCs w:val="20"/>
        </w:rPr>
      </w:pPr>
      <w:r w:rsidRPr="00A449A2">
        <w:rPr>
          <w:rFonts w:ascii="Times New Roman" w:hAnsi="Times New Roman" w:cs="Times New Roman"/>
          <w:sz w:val="20"/>
          <w:szCs w:val="20"/>
        </w:rPr>
        <w:t>10) sociālie plašsaziņas līdzekļi un tūlītējā ziņapmaiņa;</w:t>
      </w:r>
    </w:p>
    <w:p w14:paraId="21F1BF97" w14:textId="77777777" w:rsidR="00921EE8" w:rsidRPr="00A449A2" w:rsidRDefault="00921EE8" w:rsidP="00A449A2">
      <w:pPr>
        <w:spacing w:after="0"/>
        <w:jc w:val="both"/>
        <w:rPr>
          <w:rFonts w:ascii="Times New Roman" w:hAnsi="Times New Roman" w:cs="Times New Roman"/>
          <w:sz w:val="20"/>
          <w:szCs w:val="20"/>
        </w:rPr>
      </w:pPr>
      <w:r w:rsidRPr="00A449A2">
        <w:rPr>
          <w:rFonts w:ascii="Times New Roman" w:hAnsi="Times New Roman" w:cs="Times New Roman"/>
          <w:sz w:val="20"/>
          <w:szCs w:val="20"/>
        </w:rPr>
        <w:t>11) izsaukumi un videoizsaukumi (standarta kvalitātē).</w:t>
      </w:r>
    </w:p>
    <w:p w14:paraId="524FC69E" w14:textId="77777777" w:rsidR="00921EE8" w:rsidRDefault="00921EE8" w:rsidP="00921EE8">
      <w:pPr>
        <w:jc w:val="both"/>
        <w:rPr>
          <w:rFonts w:ascii="Times New Roman" w:hAnsi="Times New Roman" w:cs="Times New Roman"/>
          <w:i/>
          <w:iCs/>
          <w:sz w:val="16"/>
          <w:szCs w:val="16"/>
        </w:rPr>
      </w:pPr>
      <w:r w:rsidRPr="00A449A2">
        <w:rPr>
          <w:rFonts w:ascii="Times New Roman" w:hAnsi="Times New Roman" w:cs="Times New Roman"/>
          <w:i/>
          <w:iCs/>
          <w:sz w:val="16"/>
          <w:szCs w:val="16"/>
        </w:rPr>
        <w:t xml:space="preserve">(Ar grozījumiem, kas izdarīti ar </w:t>
      </w:r>
      <w:hyperlink r:id="rId13" w:tgtFrame="_blank" w:history="1">
        <w:r w:rsidRPr="00A449A2">
          <w:rPr>
            <w:rStyle w:val="Hyperlink"/>
            <w:rFonts w:ascii="Times New Roman" w:hAnsi="Times New Roman" w:cs="Times New Roman"/>
            <w:i/>
            <w:iCs/>
            <w:color w:val="auto"/>
            <w:sz w:val="16"/>
            <w:szCs w:val="16"/>
            <w:u w:val="none"/>
          </w:rPr>
          <w:t>27.11.2025.</w:t>
        </w:r>
      </w:hyperlink>
      <w:r w:rsidRPr="00A449A2">
        <w:rPr>
          <w:rFonts w:ascii="Times New Roman" w:hAnsi="Times New Roman" w:cs="Times New Roman"/>
          <w:i/>
          <w:iCs/>
          <w:sz w:val="16"/>
          <w:szCs w:val="16"/>
        </w:rPr>
        <w:t xml:space="preserve"> un </w:t>
      </w:r>
      <w:hyperlink r:id="rId14" w:tgtFrame="_blank" w:history="1">
        <w:r w:rsidRPr="00A449A2">
          <w:rPr>
            <w:rStyle w:val="Hyperlink"/>
            <w:rFonts w:ascii="Times New Roman" w:hAnsi="Times New Roman" w:cs="Times New Roman"/>
            <w:i/>
            <w:iCs/>
            <w:color w:val="auto"/>
            <w:sz w:val="16"/>
            <w:szCs w:val="16"/>
            <w:u w:val="none"/>
          </w:rPr>
          <w:t>05.03.2026</w:t>
        </w:r>
      </w:hyperlink>
      <w:r w:rsidRPr="00A449A2">
        <w:rPr>
          <w:rFonts w:ascii="Times New Roman" w:hAnsi="Times New Roman" w:cs="Times New Roman"/>
          <w:i/>
          <w:iCs/>
          <w:sz w:val="16"/>
          <w:szCs w:val="16"/>
        </w:rPr>
        <w:t xml:space="preserve">. likumu, kas stājas spēkā </w:t>
      </w:r>
      <w:hyperlink r:id="rId15" w:tgtFrame="_blank" w:history="1">
        <w:r w:rsidRPr="00A449A2">
          <w:rPr>
            <w:rStyle w:val="Hyperlink"/>
            <w:rFonts w:ascii="Times New Roman" w:hAnsi="Times New Roman" w:cs="Times New Roman"/>
            <w:i/>
            <w:iCs/>
            <w:color w:val="auto"/>
            <w:sz w:val="16"/>
            <w:szCs w:val="16"/>
            <w:u w:val="none"/>
          </w:rPr>
          <w:t>02.04.2026.</w:t>
        </w:r>
      </w:hyperlink>
      <w:r w:rsidRPr="00A449A2">
        <w:rPr>
          <w:rFonts w:ascii="Times New Roman" w:hAnsi="Times New Roman" w:cs="Times New Roman"/>
          <w:i/>
          <w:iCs/>
          <w:sz w:val="16"/>
          <w:szCs w:val="16"/>
        </w:rPr>
        <w:t xml:space="preserve"> Sk. pārejas noteikumu 23. punktu)</w:t>
      </w:r>
    </w:p>
    <w:p w14:paraId="0CD1453A" w14:textId="77777777" w:rsidR="00A449A2" w:rsidRPr="00500D50" w:rsidRDefault="00A449A2" w:rsidP="00A449A2">
      <w:pPr>
        <w:pStyle w:val="tv213"/>
        <w:jc w:val="both"/>
        <w:rPr>
          <w:sz w:val="40"/>
          <w:szCs w:val="40"/>
        </w:rPr>
      </w:pPr>
      <w:r w:rsidRPr="00500D50">
        <w:rPr>
          <w:noProof/>
          <w:sz w:val="40"/>
          <w:szCs w:val="40"/>
        </w:rPr>
        <mc:AlternateContent>
          <mc:Choice Requires="wps">
            <w:drawing>
              <wp:anchor distT="0" distB="0" distL="114300" distR="114300" simplePos="0" relativeHeight="251664384" behindDoc="0" locked="0" layoutInCell="1" allowOverlap="1" wp14:anchorId="53596F07" wp14:editId="290538C9">
                <wp:simplePos x="0" y="0"/>
                <wp:positionH relativeFrom="column">
                  <wp:posOffset>-266701</wp:posOffset>
                </wp:positionH>
                <wp:positionV relativeFrom="paragraph">
                  <wp:posOffset>55245</wp:posOffset>
                </wp:positionV>
                <wp:extent cx="0" cy="428625"/>
                <wp:effectExtent l="0" t="0" r="19050" b="28575"/>
                <wp:wrapNone/>
                <wp:docPr id="604948049" name="Straight Connector 604948049"/>
                <wp:cNvGraphicFramePr/>
                <a:graphic xmlns:a="http://schemas.openxmlformats.org/drawingml/2006/main">
                  <a:graphicData uri="http://schemas.microsoft.com/office/word/2010/wordprocessingShape">
                    <wps:wsp>
                      <wps:cNvCnPr/>
                      <wps:spPr>
                        <a:xfrm flipH="1">
                          <a:off x="0" y="0"/>
                          <a:ext cx="0" cy="42862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CAE47" id="Straight Connector 604948049"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4.35pt" to="-21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jZYwwEAAOcDAAAOAAAAZHJzL2Uyb0RvYy54bWysU01v2zAMvQ/YfxB0X+wESxcYcXpo0e4w&#10;rMU+foAqU7EASRQkNXb+fSk5cbpulw27CDJFPr73SG+vR2vYAULU6Fq+XNScgZPYabdv+c8fdx82&#10;nMUkXCcMOmj5ESK/3r1/tx18Ayvs0XQQGIG42Ay+5X1KvqmqKHuwIi7Qg6NHhcGKRJ9hX3VBDIRu&#10;TbWq66tqwND5gBJipOjt9Mh3BV8pkOlBqQiJmZYTt1TOUM6nfFa7rWj2QfheyxMN8Q8srNCOms5Q&#10;tyIJ9hz0b1BWy4ARVVpItBUqpSUUDaRmWb9R870XHooWMif62ab4/2Dl18ONewxkw+BjE/1jyCpG&#10;FSxTRvvPNNOii5iysdh2nG2DMTE5BSVFP642V6t1drSaEDKSDzHdA1qWLy032mVBohGHLzFNqeeU&#10;HDaODdRyvfm0LmkRje7utDH5sSwF3JjADoLGmcblqdmrLGptHDG4qCm3dDQw4X8DxXRHrCddbzCF&#10;lODSGdc4ys5lihjMhfXELG/ohcyvhaf8XAplCf+meK4ondGludhqh+FP3S9WqCn/7MCkO1vwhN2x&#10;zLlYQ9tUxnTa/Lyur79L+eX/3L0AAAD//wMAUEsDBBQABgAIAAAAIQCPk0p83wAAAAgBAAAPAAAA&#10;ZHJzL2Rvd25yZXYueG1sTI/NTsMwEITvSLyDtUhcUOsQobYJ2VSk4keCA2qBuxtvk0C8jmK3Sd4e&#10;Iw5wHM1o5ptsPZpWnKh3jWWE63kEgri0uuEK4f3tYbYC4bxirVrLhDCRg3V+fpapVNuBt3Ta+UqE&#10;EnapQqi971IpXVmTUW5uO+LgHWxvlA+yr6Tu1RDKTSvjKFpIoxoOC7XqaFNT+bU7GoTh5bm4n56u&#10;Hj+LItl+TJvk8KoSxMuL8e4WhKfR/4XhBz+gQx6Y9vbI2okWYXYThy8eYbUEEfxfvUdYLmKQeSb/&#10;H8i/AQAA//8DAFBLAQItABQABgAIAAAAIQC2gziS/gAAAOEBAAATAAAAAAAAAAAAAAAAAAAAAABb&#10;Q29udGVudF9UeXBlc10ueG1sUEsBAi0AFAAGAAgAAAAhADj9If/WAAAAlAEAAAsAAAAAAAAAAAAA&#10;AAAALwEAAF9yZWxzLy5yZWxzUEsBAi0AFAAGAAgAAAAhAArONljDAQAA5wMAAA4AAAAAAAAAAAAA&#10;AAAALgIAAGRycy9lMm9Eb2MueG1sUEsBAi0AFAAGAAgAAAAhAI+TSnzfAAAACAEAAA8AAAAAAAAA&#10;AAAAAAAAHQQAAGRycy9kb3ducmV2LnhtbFBLBQYAAAAABAAEAPMAAAApBQAAAAA=&#10;" strokecolor="black [3213]" strokeweight="1.25pt">
                <v:stroke joinstyle="miter"/>
              </v:line>
            </w:pict>
          </mc:Fallback>
        </mc:AlternateContent>
      </w:r>
      <w:r w:rsidRPr="00500D50">
        <w:rPr>
          <w:sz w:val="40"/>
          <w:szCs w:val="40"/>
        </w:rPr>
        <w:sym w:font="Wingdings" w:char="F0F0"/>
      </w:r>
    </w:p>
    <w:p w14:paraId="1E6B1354" w14:textId="77777777" w:rsidR="00A449A2" w:rsidRPr="00A449A2" w:rsidRDefault="00A449A2" w:rsidP="00921EE8">
      <w:pPr>
        <w:jc w:val="both"/>
        <w:rPr>
          <w:rFonts w:ascii="Times New Roman" w:hAnsi="Times New Roman" w:cs="Times New Roman"/>
          <w:i/>
          <w:iCs/>
          <w:sz w:val="16"/>
          <w:szCs w:val="16"/>
        </w:rPr>
      </w:pPr>
    </w:p>
    <w:p w14:paraId="01D0065A" w14:textId="77777777" w:rsidR="00921EE8" w:rsidRPr="00921EE8" w:rsidRDefault="00921EE8" w:rsidP="00921EE8">
      <w:pPr>
        <w:rPr>
          <w:rFonts w:ascii="Times New Roman" w:hAnsi="Times New Roman" w:cs="Times New Roman"/>
          <w:b/>
          <w:bCs/>
        </w:rPr>
      </w:pPr>
      <w:r w:rsidRPr="00921EE8">
        <w:rPr>
          <w:rFonts w:ascii="Times New Roman" w:hAnsi="Times New Roman" w:cs="Times New Roman"/>
          <w:b/>
          <w:bCs/>
        </w:rPr>
        <w:t>VI nodaļa</w:t>
      </w:r>
      <w:r w:rsidRPr="00921EE8">
        <w:rPr>
          <w:rFonts w:ascii="Times New Roman" w:hAnsi="Times New Roman" w:cs="Times New Roman"/>
          <w:b/>
          <w:bCs/>
        </w:rPr>
        <w:br/>
        <w:t>Elektronisko sakaru komersanti un galalietotāji</w:t>
      </w:r>
    </w:p>
    <w:p w14:paraId="5752B5FA" w14:textId="77777777" w:rsidR="00921EE8" w:rsidRPr="00921EE8" w:rsidRDefault="00921EE8" w:rsidP="00921EE8">
      <w:pPr>
        <w:jc w:val="both"/>
        <w:rPr>
          <w:rFonts w:ascii="Times New Roman" w:hAnsi="Times New Roman" w:cs="Times New Roman"/>
        </w:rPr>
      </w:pPr>
      <w:bookmarkStart w:id="10" w:name="p35"/>
      <w:bookmarkStart w:id="11" w:name="p-1120364"/>
      <w:bookmarkStart w:id="12" w:name="p40"/>
      <w:bookmarkStart w:id="13" w:name="p-1120369"/>
      <w:bookmarkEnd w:id="10"/>
      <w:bookmarkEnd w:id="11"/>
      <w:bookmarkEnd w:id="12"/>
      <w:bookmarkEnd w:id="13"/>
      <w:r w:rsidRPr="00921EE8">
        <w:rPr>
          <w:rFonts w:ascii="Times New Roman" w:hAnsi="Times New Roman" w:cs="Times New Roman"/>
          <w:b/>
          <w:bCs/>
        </w:rPr>
        <w:t>40. pants. Pakalpojuma kvalitāte</w:t>
      </w:r>
    </w:p>
    <w:p w14:paraId="1B1C2093"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(1) Regulators nosaka elektronisko sakaru pakalpojumu kvalitātes prasības un tās mērījumu metodiku.</w:t>
      </w:r>
    </w:p>
    <w:p w14:paraId="211A5855"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 xml:space="preserve">(2) Regulators veic elektronisko sakaru pakalpojumu kvalitātes mērījumus saskaņā ar šā panta pirmajā daļā noteikto metodiku un Eiropas Parlamenta un Padomes 2015. gada 25. novembra regulu (ES) </w:t>
      </w:r>
      <w:hyperlink r:id="rId16" w:tgtFrame="_blank" w:history="1">
        <w:r w:rsidRPr="00A449A2">
          <w:rPr>
            <w:rStyle w:val="Hyperlink"/>
            <w:rFonts w:ascii="Times New Roman" w:hAnsi="Times New Roman" w:cs="Times New Roman"/>
            <w:color w:val="auto"/>
            <w:sz w:val="20"/>
            <w:szCs w:val="20"/>
            <w:u w:val="none"/>
          </w:rPr>
          <w:t>2015/2120</w:t>
        </w:r>
      </w:hyperlink>
      <w:r w:rsidRPr="00A449A2">
        <w:rPr>
          <w:rFonts w:ascii="Times New Roman" w:hAnsi="Times New Roman" w:cs="Times New Roman"/>
          <w:sz w:val="20"/>
          <w:szCs w:val="20"/>
        </w:rPr>
        <w:t xml:space="preserve">, ar ko nosaka pasākumus sakarā ar piekļuvi atvērtam internetam un groza direktīvu </w:t>
      </w:r>
      <w:hyperlink r:id="rId17" w:tgtFrame="_blank" w:history="1">
        <w:r w:rsidRPr="00A449A2">
          <w:rPr>
            <w:rStyle w:val="Hyperlink"/>
            <w:rFonts w:ascii="Times New Roman" w:hAnsi="Times New Roman" w:cs="Times New Roman"/>
            <w:color w:val="auto"/>
            <w:sz w:val="20"/>
            <w:szCs w:val="20"/>
            <w:u w:val="none"/>
          </w:rPr>
          <w:t>2002/22/EK</w:t>
        </w:r>
      </w:hyperlink>
      <w:r w:rsidRPr="00A449A2">
        <w:rPr>
          <w:rFonts w:ascii="Times New Roman" w:hAnsi="Times New Roman" w:cs="Times New Roman"/>
          <w:sz w:val="20"/>
          <w:szCs w:val="20"/>
        </w:rPr>
        <w:t xml:space="preserve"> par universālo pakalpojumu un lietotāju tiesībām attiecībā uz elektronisko sakaru tīkliem un pakalpojumiem un regulu (ES) Nr. </w:t>
      </w:r>
      <w:hyperlink r:id="rId18" w:tgtFrame="_blank" w:history="1">
        <w:r w:rsidRPr="00A449A2">
          <w:rPr>
            <w:rStyle w:val="Hyperlink"/>
            <w:rFonts w:ascii="Times New Roman" w:hAnsi="Times New Roman" w:cs="Times New Roman"/>
            <w:color w:val="auto"/>
            <w:sz w:val="20"/>
            <w:szCs w:val="20"/>
            <w:u w:val="none"/>
          </w:rPr>
          <w:t xml:space="preserve">53 </w:t>
        </w:r>
      </w:hyperlink>
      <w:hyperlink r:id="rId19" w:tgtFrame="_blank" w:history="1">
        <w:r w:rsidRPr="00A449A2">
          <w:rPr>
            <w:rStyle w:val="Hyperlink"/>
            <w:rFonts w:ascii="Times New Roman" w:hAnsi="Times New Roman" w:cs="Times New Roman"/>
            <w:color w:val="auto"/>
            <w:sz w:val="20"/>
            <w:szCs w:val="20"/>
            <w:u w:val="none"/>
          </w:rPr>
          <w:t>1/20</w:t>
        </w:r>
      </w:hyperlink>
      <w:r w:rsidRPr="00A449A2">
        <w:rPr>
          <w:rFonts w:ascii="Times New Roman" w:hAnsi="Times New Roman" w:cs="Times New Roman"/>
          <w:sz w:val="20"/>
          <w:szCs w:val="20"/>
        </w:rPr>
        <w:t>12 par viesabonēšanu publiskajos mobilo sakaru tīklos Savienībā. Elektronisko sakaru komersants nepiemēro Regulatoram maksu par izmaksām (t. i., ierīkošana, abonēšanas maksa un noslodze), kas tam radušās, Regulatoram veicot elektronisko sakaru pakalpojumu kvalitātes mērījumus. Elektronisko sakaru komersants nodrošina Regulatoram pieslēgumu nacionālajam interneta apmaiņas punktam bez maksas tādā apmērā, kāds nepieciešams regulēšanas funkciju veikšanai.</w:t>
      </w:r>
    </w:p>
    <w:p w14:paraId="0ABB7FD0"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(3) Regulators ir tiesīgs pieprasīt, lai interneta piekļuves pakalpojuma un starppersonu sakaru pakalpojuma sniedzējs, kas tieši vai saskaņā ar pakalpojuma līmeņa līgumu kontrolē vismaz dažus tīkla elementus, publisko visaptverošu, salīdzināmu, uzticamu, atbilstīgu, ērti lietojamu un atjauninātu informāciju galalietotājam par sniegto pakalpojumu kvalitāti un informāciju par pasākumiem, kas veikti, lai galalietotājiem ar invaliditāti nodrošinātu elektronisko sakaru pakalpojumus, kas ir līdzvērtīgi citiem galalietotājiem piedāvātajiem pakalpojumiem.</w:t>
      </w:r>
    </w:p>
    <w:p w14:paraId="5622F440"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(4) Regulators ir tiesīgs pieprasīt, lai starppersonu sakaru pakalpojuma sniedzējs informē patērētāju par ārējiem faktoriem, kas ietekmē tā nodrošinātā pakalpojuma kvalitāti.</w:t>
      </w:r>
    </w:p>
    <w:p w14:paraId="1601231A"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(5) Elektronisko sakaru komersants pēc Regulatora pieprasījuma šā panta trešajā un ceturtajā daļā noteikto informāciju pirms tās publicēšanas iesniedz Regulatoram.</w:t>
      </w:r>
    </w:p>
    <w:p w14:paraId="44AC6CD8" w14:textId="77777777" w:rsidR="00921EE8"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(6) Regulators izstrādā un publisko elektronisko sakaru pakalpojumu kvalitātes pārskatu par iepriekšējo kalendāra gadu.</w:t>
      </w:r>
    </w:p>
    <w:p w14:paraId="7A1885F4" w14:textId="77777777" w:rsidR="00A449A2" w:rsidRPr="00500D50" w:rsidRDefault="00A449A2" w:rsidP="00A449A2">
      <w:pPr>
        <w:pStyle w:val="tv213"/>
        <w:jc w:val="both"/>
        <w:rPr>
          <w:sz w:val="40"/>
          <w:szCs w:val="40"/>
        </w:rPr>
      </w:pPr>
      <w:r w:rsidRPr="00500D50">
        <w:rPr>
          <w:noProof/>
          <w:sz w:val="40"/>
          <w:szCs w:val="40"/>
        </w:rPr>
        <mc:AlternateContent>
          <mc:Choice Requires="wps">
            <w:drawing>
              <wp:anchor distT="0" distB="0" distL="114300" distR="114300" simplePos="0" relativeHeight="251666432" behindDoc="0" locked="0" layoutInCell="1" allowOverlap="1" wp14:anchorId="19D7D1D0" wp14:editId="0798C8E5">
                <wp:simplePos x="0" y="0"/>
                <wp:positionH relativeFrom="column">
                  <wp:posOffset>-266701</wp:posOffset>
                </wp:positionH>
                <wp:positionV relativeFrom="paragraph">
                  <wp:posOffset>55245</wp:posOffset>
                </wp:positionV>
                <wp:extent cx="0" cy="428625"/>
                <wp:effectExtent l="0" t="0" r="19050" b="28575"/>
                <wp:wrapNone/>
                <wp:docPr id="75656222" name="Straight Connector 75656222"/>
                <wp:cNvGraphicFramePr/>
                <a:graphic xmlns:a="http://schemas.openxmlformats.org/drawingml/2006/main">
                  <a:graphicData uri="http://schemas.microsoft.com/office/word/2010/wordprocessingShape">
                    <wps:wsp>
                      <wps:cNvCnPr/>
                      <wps:spPr>
                        <a:xfrm flipH="1">
                          <a:off x="0" y="0"/>
                          <a:ext cx="0" cy="42862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7A89A7" id="Straight Connector 75656222"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4.35pt" to="-21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jZYwwEAAOcDAAAOAAAAZHJzL2Uyb0RvYy54bWysU01v2zAMvQ/YfxB0X+wESxcYcXpo0e4w&#10;rMU+foAqU7EASRQkNXb+fSk5cbpulw27CDJFPr73SG+vR2vYAULU6Fq+XNScgZPYabdv+c8fdx82&#10;nMUkXCcMOmj5ESK/3r1/tx18Ayvs0XQQGIG42Ay+5X1KvqmqKHuwIi7Qg6NHhcGKRJ9hX3VBDIRu&#10;TbWq66tqwND5gBJipOjt9Mh3BV8pkOlBqQiJmZYTt1TOUM6nfFa7rWj2QfheyxMN8Q8srNCOms5Q&#10;tyIJ9hz0b1BWy4ARVVpItBUqpSUUDaRmWb9R870XHooWMif62ab4/2Dl18ONewxkw+BjE/1jyCpG&#10;FSxTRvvPNNOii5iysdh2nG2DMTE5BSVFP642V6t1drSaEDKSDzHdA1qWLy032mVBohGHLzFNqeeU&#10;HDaODdRyvfm0LmkRje7utDH5sSwF3JjADoLGmcblqdmrLGptHDG4qCm3dDQw4X8DxXRHrCddbzCF&#10;lODSGdc4ys5lihjMhfXELG/ohcyvhaf8XAplCf+meK4ondGludhqh+FP3S9WqCn/7MCkO1vwhN2x&#10;zLlYQ9tUxnTa/Lyur79L+eX/3L0AAAD//wMAUEsDBBQABgAIAAAAIQCPk0p83wAAAAgBAAAPAAAA&#10;ZHJzL2Rvd25yZXYueG1sTI/NTsMwEITvSLyDtUhcUOsQobYJ2VSk4keCA2qBuxtvk0C8jmK3Sd4e&#10;Iw5wHM1o5ptsPZpWnKh3jWWE63kEgri0uuEK4f3tYbYC4bxirVrLhDCRg3V+fpapVNuBt3Ta+UqE&#10;EnapQqi971IpXVmTUW5uO+LgHWxvlA+yr6Tu1RDKTSvjKFpIoxoOC7XqaFNT+bU7GoTh5bm4n56u&#10;Hj+LItl+TJvk8KoSxMuL8e4WhKfR/4XhBz+gQx6Y9vbI2okWYXYThy8eYbUEEfxfvUdYLmKQeSb/&#10;H8i/AQAA//8DAFBLAQItABQABgAIAAAAIQC2gziS/gAAAOEBAAATAAAAAAAAAAAAAAAAAAAAAABb&#10;Q29udGVudF9UeXBlc10ueG1sUEsBAi0AFAAGAAgAAAAhADj9If/WAAAAlAEAAAsAAAAAAAAAAAAA&#10;AAAALwEAAF9yZWxzLy5yZWxzUEsBAi0AFAAGAAgAAAAhAArONljDAQAA5wMAAA4AAAAAAAAAAAAA&#10;AAAALgIAAGRycy9lMm9Eb2MueG1sUEsBAi0AFAAGAAgAAAAhAI+TSnzfAAAACAEAAA8AAAAAAAAA&#10;AAAAAAAAHQQAAGRycy9kb3ducmV2LnhtbFBLBQYAAAAABAAEAPMAAAApBQAAAAA=&#10;" strokecolor="black [3213]" strokeweight="1.25pt">
                <v:stroke joinstyle="miter"/>
              </v:line>
            </w:pict>
          </mc:Fallback>
        </mc:AlternateContent>
      </w:r>
      <w:r w:rsidRPr="00500D50">
        <w:rPr>
          <w:sz w:val="40"/>
          <w:szCs w:val="40"/>
        </w:rPr>
        <w:sym w:font="Wingdings" w:char="F0F0"/>
      </w:r>
    </w:p>
    <w:p w14:paraId="7AC1DBC1" w14:textId="77777777" w:rsidR="00A449A2" w:rsidRPr="00A449A2" w:rsidRDefault="00A449A2" w:rsidP="00921EE8">
      <w:pPr>
        <w:jc w:val="both"/>
        <w:rPr>
          <w:rFonts w:ascii="Times New Roman" w:hAnsi="Times New Roman" w:cs="Times New Roman"/>
          <w:sz w:val="20"/>
          <w:szCs w:val="20"/>
        </w:rPr>
      </w:pPr>
    </w:p>
    <w:p w14:paraId="723793AE" w14:textId="6ADF4FB1" w:rsidR="00D63814" w:rsidRPr="00921EE8" w:rsidRDefault="00921EE8" w:rsidP="00921EE8">
      <w:pPr>
        <w:jc w:val="both"/>
        <w:rPr>
          <w:rFonts w:ascii="Times New Roman" w:hAnsi="Times New Roman" w:cs="Times New Roman"/>
          <w:b/>
          <w:bCs/>
        </w:rPr>
      </w:pPr>
      <w:r w:rsidRPr="00921EE8">
        <w:rPr>
          <w:rFonts w:ascii="Times New Roman" w:hAnsi="Times New Roman" w:cs="Times New Roman"/>
          <w:b/>
          <w:bCs/>
        </w:rPr>
        <w:t>Pārejas noteikumi</w:t>
      </w:r>
    </w:p>
    <w:p w14:paraId="6351EF5B" w14:textId="5AAC9B88" w:rsidR="00921EE8" w:rsidRPr="00921EE8" w:rsidRDefault="00921EE8" w:rsidP="00921EE8">
      <w:pPr>
        <w:jc w:val="both"/>
        <w:rPr>
          <w:rFonts w:ascii="Times New Roman" w:hAnsi="Times New Roman" w:cs="Times New Roman"/>
        </w:rPr>
      </w:pPr>
      <w:r w:rsidRPr="00921EE8">
        <w:rPr>
          <w:rFonts w:ascii="Times New Roman" w:hAnsi="Times New Roman" w:cs="Times New Roman"/>
        </w:rPr>
        <w:t>------------</w:t>
      </w:r>
    </w:p>
    <w:p w14:paraId="06F22F94" w14:textId="77777777" w:rsidR="00921EE8" w:rsidRPr="00A449A2" w:rsidRDefault="00921EE8" w:rsidP="00921EE8">
      <w:pPr>
        <w:jc w:val="both"/>
        <w:rPr>
          <w:rFonts w:ascii="Times New Roman" w:hAnsi="Times New Roman" w:cs="Times New Roman"/>
          <w:sz w:val="20"/>
          <w:szCs w:val="20"/>
        </w:rPr>
      </w:pPr>
      <w:r w:rsidRPr="00A449A2">
        <w:rPr>
          <w:rFonts w:ascii="Times New Roman" w:hAnsi="Times New Roman" w:cs="Times New Roman"/>
          <w:sz w:val="20"/>
          <w:szCs w:val="20"/>
        </w:rPr>
        <w:t>23. Šā likuma 19. panta otrās daļas 21. punktā minēto informāciju elektronisko sakaru komersants pirmo reizi iesniedz Regulatoram līdz 2027. gada 30. septembrim, iekļaujot informāciju par to, kādas vienošanās noslēgtas no 2025. gada 12. novembra līdz 2027. gada 12. septembrim.</w:t>
      </w:r>
    </w:p>
    <w:p w14:paraId="1417E4CF" w14:textId="77777777" w:rsidR="00921EE8" w:rsidRDefault="00921EE8" w:rsidP="00921EE8">
      <w:pPr>
        <w:jc w:val="both"/>
        <w:rPr>
          <w:rFonts w:ascii="Times New Roman" w:hAnsi="Times New Roman" w:cs="Times New Roman"/>
          <w:i/>
          <w:iCs/>
          <w:sz w:val="16"/>
          <w:szCs w:val="16"/>
        </w:rPr>
      </w:pPr>
      <w:r w:rsidRPr="00A449A2">
        <w:rPr>
          <w:rFonts w:ascii="Times New Roman" w:hAnsi="Times New Roman" w:cs="Times New Roman"/>
          <w:i/>
          <w:iCs/>
          <w:sz w:val="16"/>
          <w:szCs w:val="16"/>
        </w:rPr>
        <w:t>(</w:t>
      </w:r>
      <w:hyperlink r:id="rId20" w:tgtFrame="_blank" w:history="1">
        <w:r w:rsidRPr="00A449A2">
          <w:rPr>
            <w:rStyle w:val="Hyperlink"/>
            <w:rFonts w:ascii="Times New Roman" w:hAnsi="Times New Roman" w:cs="Times New Roman"/>
            <w:i/>
            <w:iCs/>
            <w:color w:val="auto"/>
            <w:sz w:val="16"/>
            <w:szCs w:val="16"/>
            <w:u w:val="none"/>
          </w:rPr>
          <w:t>05.03.2026</w:t>
        </w:r>
      </w:hyperlink>
      <w:r w:rsidRPr="00A449A2">
        <w:rPr>
          <w:rFonts w:ascii="Times New Roman" w:hAnsi="Times New Roman" w:cs="Times New Roman"/>
          <w:i/>
          <w:iCs/>
          <w:sz w:val="16"/>
          <w:szCs w:val="16"/>
        </w:rPr>
        <w:t xml:space="preserve">. likuma redakcijā, kas stājas spēkā </w:t>
      </w:r>
      <w:hyperlink r:id="rId21" w:tgtFrame="_blank" w:history="1">
        <w:r w:rsidRPr="00A449A2">
          <w:rPr>
            <w:rStyle w:val="Hyperlink"/>
            <w:rFonts w:ascii="Times New Roman" w:hAnsi="Times New Roman" w:cs="Times New Roman"/>
            <w:i/>
            <w:iCs/>
            <w:color w:val="auto"/>
            <w:sz w:val="16"/>
            <w:szCs w:val="16"/>
            <w:u w:val="none"/>
          </w:rPr>
          <w:t>02.04.2026.</w:t>
        </w:r>
      </w:hyperlink>
      <w:r w:rsidRPr="00A449A2">
        <w:rPr>
          <w:rFonts w:ascii="Times New Roman" w:hAnsi="Times New Roman" w:cs="Times New Roman"/>
          <w:i/>
          <w:iCs/>
          <w:sz w:val="16"/>
          <w:szCs w:val="16"/>
        </w:rPr>
        <w:t>)</w:t>
      </w:r>
    </w:p>
    <w:p w14:paraId="15896A90" w14:textId="77777777" w:rsidR="00A449A2" w:rsidRPr="00500D50" w:rsidRDefault="00A449A2" w:rsidP="00A449A2">
      <w:pPr>
        <w:pStyle w:val="tv213"/>
        <w:jc w:val="both"/>
        <w:rPr>
          <w:sz w:val="40"/>
          <w:szCs w:val="40"/>
        </w:rPr>
      </w:pPr>
      <w:r w:rsidRPr="00500D50">
        <w:rPr>
          <w:noProof/>
          <w:sz w:val="40"/>
          <w:szCs w:val="40"/>
        </w:rPr>
        <mc:AlternateContent>
          <mc:Choice Requires="wps">
            <w:drawing>
              <wp:anchor distT="0" distB="0" distL="114300" distR="114300" simplePos="0" relativeHeight="251668480" behindDoc="0" locked="0" layoutInCell="1" allowOverlap="1" wp14:anchorId="53C9C06C" wp14:editId="7DE7CC38">
                <wp:simplePos x="0" y="0"/>
                <wp:positionH relativeFrom="column">
                  <wp:posOffset>-266701</wp:posOffset>
                </wp:positionH>
                <wp:positionV relativeFrom="paragraph">
                  <wp:posOffset>55245</wp:posOffset>
                </wp:positionV>
                <wp:extent cx="0" cy="428625"/>
                <wp:effectExtent l="0" t="0" r="19050" b="28575"/>
                <wp:wrapNone/>
                <wp:docPr id="431234425" name="Straight Connector 431234425"/>
                <wp:cNvGraphicFramePr/>
                <a:graphic xmlns:a="http://schemas.openxmlformats.org/drawingml/2006/main">
                  <a:graphicData uri="http://schemas.microsoft.com/office/word/2010/wordprocessingShape">
                    <wps:wsp>
                      <wps:cNvCnPr/>
                      <wps:spPr>
                        <a:xfrm flipH="1">
                          <a:off x="0" y="0"/>
                          <a:ext cx="0" cy="42862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6F0A06" id="Straight Connector 431234425"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4.35pt" to="-21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jZYwwEAAOcDAAAOAAAAZHJzL2Uyb0RvYy54bWysU01v2zAMvQ/YfxB0X+wESxcYcXpo0e4w&#10;rMU+foAqU7EASRQkNXb+fSk5cbpulw27CDJFPr73SG+vR2vYAULU6Fq+XNScgZPYabdv+c8fdx82&#10;nMUkXCcMOmj5ESK/3r1/tx18Ayvs0XQQGIG42Ay+5X1KvqmqKHuwIi7Qg6NHhcGKRJ9hX3VBDIRu&#10;TbWq66tqwND5gBJipOjt9Mh3BV8pkOlBqQiJmZYTt1TOUM6nfFa7rWj2QfheyxMN8Q8srNCOms5Q&#10;tyIJ9hz0b1BWy4ARVVpItBUqpSUUDaRmWb9R870XHooWMif62ab4/2Dl18ONewxkw+BjE/1jyCpG&#10;FSxTRvvPNNOii5iysdh2nG2DMTE5BSVFP642V6t1drSaEDKSDzHdA1qWLy032mVBohGHLzFNqeeU&#10;HDaODdRyvfm0LmkRje7utDH5sSwF3JjADoLGmcblqdmrLGptHDG4qCm3dDQw4X8DxXRHrCddbzCF&#10;lODSGdc4ys5lihjMhfXELG/ohcyvhaf8XAplCf+meK4ondGludhqh+FP3S9WqCn/7MCkO1vwhN2x&#10;zLlYQ9tUxnTa/Lyur79L+eX/3L0AAAD//wMAUEsDBBQABgAIAAAAIQCPk0p83wAAAAgBAAAPAAAA&#10;ZHJzL2Rvd25yZXYueG1sTI/NTsMwEITvSLyDtUhcUOsQobYJ2VSk4keCA2qBuxtvk0C8jmK3Sd4e&#10;Iw5wHM1o5ptsPZpWnKh3jWWE63kEgri0uuEK4f3tYbYC4bxirVrLhDCRg3V+fpapVNuBt3Ta+UqE&#10;EnapQqi971IpXVmTUW5uO+LgHWxvlA+yr6Tu1RDKTSvjKFpIoxoOC7XqaFNT+bU7GoTh5bm4n56u&#10;Hj+LItl+TJvk8KoSxMuL8e4WhKfR/4XhBz+gQx6Y9vbI2okWYXYThy8eYbUEEfxfvUdYLmKQeSb/&#10;H8i/AQAA//8DAFBLAQItABQABgAIAAAAIQC2gziS/gAAAOEBAAATAAAAAAAAAAAAAAAAAAAAAABb&#10;Q29udGVudF9UeXBlc10ueG1sUEsBAi0AFAAGAAgAAAAhADj9If/WAAAAlAEAAAsAAAAAAAAAAAAA&#10;AAAALwEAAF9yZWxzLy5yZWxzUEsBAi0AFAAGAAgAAAAhAArONljDAQAA5wMAAA4AAAAAAAAAAAAA&#10;AAAALgIAAGRycy9lMm9Eb2MueG1sUEsBAi0AFAAGAAgAAAAhAI+TSnzfAAAACAEAAA8AAAAAAAAA&#10;AAAAAAAAHQQAAGRycy9kb3ducmV2LnhtbFBLBQYAAAAABAAEAPMAAAApBQAAAAA=&#10;" strokecolor="black [3213]" strokeweight="1.25pt">
                <v:stroke joinstyle="miter"/>
              </v:line>
            </w:pict>
          </mc:Fallback>
        </mc:AlternateContent>
      </w:r>
      <w:r w:rsidRPr="00500D50">
        <w:rPr>
          <w:sz w:val="40"/>
          <w:szCs w:val="40"/>
        </w:rPr>
        <w:sym w:font="Wingdings" w:char="F0F0"/>
      </w:r>
    </w:p>
    <w:p w14:paraId="693E4928" w14:textId="77777777" w:rsidR="00A449A2" w:rsidRPr="00A449A2" w:rsidRDefault="00A449A2" w:rsidP="00921EE8">
      <w:pPr>
        <w:jc w:val="both"/>
        <w:rPr>
          <w:rFonts w:ascii="Times New Roman" w:hAnsi="Times New Roman" w:cs="Times New Roman"/>
          <w:i/>
          <w:iCs/>
          <w:sz w:val="16"/>
          <w:szCs w:val="16"/>
        </w:rPr>
      </w:pPr>
    </w:p>
    <w:p w14:paraId="1D247CAA" w14:textId="77777777" w:rsidR="000669DD" w:rsidRPr="00921EE8" w:rsidRDefault="000669DD" w:rsidP="00921EE8">
      <w:pPr>
        <w:jc w:val="both"/>
        <w:rPr>
          <w:rFonts w:ascii="Times New Roman" w:hAnsi="Times New Roman" w:cs="Times New Roman"/>
        </w:rPr>
      </w:pPr>
    </w:p>
    <w:sectPr w:rsidR="000669DD" w:rsidRPr="00921EE8">
      <w:footerReference w:type="default" r:id="rId2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48224" w14:textId="77777777" w:rsidR="00866F1E" w:rsidRDefault="00866F1E" w:rsidP="00921EE8">
      <w:pPr>
        <w:spacing w:after="0" w:line="240" w:lineRule="auto"/>
      </w:pPr>
      <w:r>
        <w:separator/>
      </w:r>
    </w:p>
  </w:endnote>
  <w:endnote w:type="continuationSeparator" w:id="0">
    <w:p w14:paraId="38E16C2A" w14:textId="77777777" w:rsidR="00866F1E" w:rsidRDefault="00866F1E" w:rsidP="00921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529996"/>
      <w:docPartObj>
        <w:docPartGallery w:val="Page Numbers (Bottom of Page)"/>
        <w:docPartUnique/>
      </w:docPartObj>
    </w:sdtPr>
    <w:sdtEndPr/>
    <w:sdtContent>
      <w:p w14:paraId="378FFAD1" w14:textId="7BB9286A" w:rsidR="00921EE8" w:rsidRDefault="00921EE8">
        <w:pPr>
          <w:pStyle w:val="Footer"/>
          <w:jc w:val="right"/>
        </w:pPr>
        <w:r>
          <w:fldChar w:fldCharType="begin"/>
        </w:r>
        <w:r>
          <w:instrText>PAGE   \* MERGEFORMAT</w:instrText>
        </w:r>
        <w:r>
          <w:fldChar w:fldCharType="separate"/>
        </w:r>
        <w:r>
          <w:rPr>
            <w:lang w:val="en-GB"/>
          </w:rPr>
          <w:t>2</w:t>
        </w:r>
        <w:r>
          <w:fldChar w:fldCharType="end"/>
        </w:r>
      </w:p>
    </w:sdtContent>
  </w:sdt>
  <w:p w14:paraId="3456742C" w14:textId="77777777" w:rsidR="00921EE8" w:rsidRDefault="00921E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EA2E8" w14:textId="77777777" w:rsidR="00866F1E" w:rsidRDefault="00866F1E" w:rsidP="00921EE8">
      <w:pPr>
        <w:spacing w:after="0" w:line="240" w:lineRule="auto"/>
      </w:pPr>
      <w:r>
        <w:separator/>
      </w:r>
    </w:p>
  </w:footnote>
  <w:footnote w:type="continuationSeparator" w:id="0">
    <w:p w14:paraId="3BD2BE02" w14:textId="77777777" w:rsidR="00866F1E" w:rsidRDefault="00866F1E" w:rsidP="00921E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14"/>
    <w:rsid w:val="00016AAC"/>
    <w:rsid w:val="000669DD"/>
    <w:rsid w:val="008521A7"/>
    <w:rsid w:val="00866F1E"/>
    <w:rsid w:val="00921EE8"/>
    <w:rsid w:val="009D6CA5"/>
    <w:rsid w:val="00A449A2"/>
    <w:rsid w:val="00D63814"/>
    <w:rsid w:val="00F00B92"/>
    <w:rsid w:val="00FB58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AA385"/>
  <w15:chartTrackingRefBased/>
  <w15:docId w15:val="{8192F931-0961-48FF-B571-EB2E12807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38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38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38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38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38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38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38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38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38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8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38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38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38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38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38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38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38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3814"/>
    <w:rPr>
      <w:rFonts w:eastAsiaTheme="majorEastAsia" w:cstheme="majorBidi"/>
      <w:color w:val="272727" w:themeColor="text1" w:themeTint="D8"/>
    </w:rPr>
  </w:style>
  <w:style w:type="paragraph" w:styleId="Title">
    <w:name w:val="Title"/>
    <w:basedOn w:val="Normal"/>
    <w:next w:val="Normal"/>
    <w:link w:val="TitleChar"/>
    <w:uiPriority w:val="10"/>
    <w:qFormat/>
    <w:rsid w:val="00D638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38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38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38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3814"/>
    <w:pPr>
      <w:spacing w:before="160"/>
      <w:jc w:val="center"/>
    </w:pPr>
    <w:rPr>
      <w:i/>
      <w:iCs/>
      <w:color w:val="404040" w:themeColor="text1" w:themeTint="BF"/>
    </w:rPr>
  </w:style>
  <w:style w:type="character" w:customStyle="1" w:styleId="QuoteChar">
    <w:name w:val="Quote Char"/>
    <w:basedOn w:val="DefaultParagraphFont"/>
    <w:link w:val="Quote"/>
    <w:uiPriority w:val="29"/>
    <w:rsid w:val="00D63814"/>
    <w:rPr>
      <w:i/>
      <w:iCs/>
      <w:color w:val="404040" w:themeColor="text1" w:themeTint="BF"/>
    </w:rPr>
  </w:style>
  <w:style w:type="paragraph" w:styleId="ListParagraph">
    <w:name w:val="List Paragraph"/>
    <w:basedOn w:val="Normal"/>
    <w:uiPriority w:val="34"/>
    <w:qFormat/>
    <w:rsid w:val="00D63814"/>
    <w:pPr>
      <w:ind w:left="720"/>
      <w:contextualSpacing/>
    </w:pPr>
  </w:style>
  <w:style w:type="character" w:styleId="IntenseEmphasis">
    <w:name w:val="Intense Emphasis"/>
    <w:basedOn w:val="DefaultParagraphFont"/>
    <w:uiPriority w:val="21"/>
    <w:qFormat/>
    <w:rsid w:val="00D63814"/>
    <w:rPr>
      <w:i/>
      <w:iCs/>
      <w:color w:val="0F4761" w:themeColor="accent1" w:themeShade="BF"/>
    </w:rPr>
  </w:style>
  <w:style w:type="paragraph" w:styleId="IntenseQuote">
    <w:name w:val="Intense Quote"/>
    <w:basedOn w:val="Normal"/>
    <w:next w:val="Normal"/>
    <w:link w:val="IntenseQuoteChar"/>
    <w:uiPriority w:val="30"/>
    <w:qFormat/>
    <w:rsid w:val="00D638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3814"/>
    <w:rPr>
      <w:i/>
      <w:iCs/>
      <w:color w:val="0F4761" w:themeColor="accent1" w:themeShade="BF"/>
    </w:rPr>
  </w:style>
  <w:style w:type="character" w:styleId="IntenseReference">
    <w:name w:val="Intense Reference"/>
    <w:basedOn w:val="DefaultParagraphFont"/>
    <w:uiPriority w:val="32"/>
    <w:qFormat/>
    <w:rsid w:val="00D63814"/>
    <w:rPr>
      <w:b/>
      <w:bCs/>
      <w:smallCaps/>
      <w:color w:val="0F4761" w:themeColor="accent1" w:themeShade="BF"/>
      <w:spacing w:val="5"/>
    </w:rPr>
  </w:style>
  <w:style w:type="character" w:styleId="Hyperlink">
    <w:name w:val="Hyperlink"/>
    <w:basedOn w:val="DefaultParagraphFont"/>
    <w:uiPriority w:val="99"/>
    <w:unhideWhenUsed/>
    <w:rsid w:val="00D63814"/>
    <w:rPr>
      <w:color w:val="467886" w:themeColor="hyperlink"/>
      <w:u w:val="single"/>
    </w:rPr>
  </w:style>
  <w:style w:type="character" w:styleId="UnresolvedMention">
    <w:name w:val="Unresolved Mention"/>
    <w:basedOn w:val="DefaultParagraphFont"/>
    <w:uiPriority w:val="99"/>
    <w:semiHidden/>
    <w:unhideWhenUsed/>
    <w:rsid w:val="00D63814"/>
    <w:rPr>
      <w:color w:val="605E5C"/>
      <w:shd w:val="clear" w:color="auto" w:fill="E1DFDD"/>
    </w:rPr>
  </w:style>
  <w:style w:type="paragraph" w:styleId="Header">
    <w:name w:val="header"/>
    <w:basedOn w:val="Normal"/>
    <w:link w:val="HeaderChar"/>
    <w:uiPriority w:val="99"/>
    <w:unhideWhenUsed/>
    <w:rsid w:val="00921EE8"/>
    <w:pPr>
      <w:tabs>
        <w:tab w:val="center" w:pos="4153"/>
        <w:tab w:val="right" w:pos="8306"/>
      </w:tabs>
      <w:spacing w:after="0" w:line="240" w:lineRule="auto"/>
    </w:pPr>
  </w:style>
  <w:style w:type="character" w:customStyle="1" w:styleId="HeaderChar">
    <w:name w:val="Header Char"/>
    <w:basedOn w:val="DefaultParagraphFont"/>
    <w:link w:val="Header"/>
    <w:uiPriority w:val="99"/>
    <w:rsid w:val="00921EE8"/>
  </w:style>
  <w:style w:type="paragraph" w:styleId="Footer">
    <w:name w:val="footer"/>
    <w:basedOn w:val="Normal"/>
    <w:link w:val="FooterChar"/>
    <w:uiPriority w:val="99"/>
    <w:unhideWhenUsed/>
    <w:rsid w:val="00921EE8"/>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1EE8"/>
  </w:style>
  <w:style w:type="paragraph" w:customStyle="1" w:styleId="tv213">
    <w:name w:val="tv213"/>
    <w:basedOn w:val="Normal"/>
    <w:rsid w:val="00A449A2"/>
    <w:pPr>
      <w:spacing w:before="100" w:beforeAutospacing="1" w:after="100" w:afterAutospacing="1" w:line="240" w:lineRule="auto"/>
    </w:pPr>
    <w:rPr>
      <w:rFonts w:ascii="Times New Roman" w:eastAsia="Times New Roman" w:hAnsi="Times New Roman" w:cs="Times New Roman"/>
      <w:kern w:val="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_del/2013/305/oj/?locale=LV" TargetMode="External"/><Relationship Id="rId13" Type="http://schemas.openxmlformats.org/officeDocument/2006/relationships/hyperlink" Target="https://likumi.lv/ta/id/364791-grozijumi-elektronisko-sakaru-likuma" TargetMode="External"/><Relationship Id="rId18" Type="http://schemas.openxmlformats.org/officeDocument/2006/relationships/hyperlink" Target="http://eur-lex.europa.eu/eli/reg/2012/531/oj/?locale=LV" TargetMode="External"/><Relationship Id="rId3" Type="http://schemas.openxmlformats.org/officeDocument/2006/relationships/webSettings" Target="webSettings.xml"/><Relationship Id="rId21" Type="http://schemas.openxmlformats.org/officeDocument/2006/relationships/hyperlink" Target="https://likumi.lv/ta/id/334345-elektronisko-sakaru-likums/redakcijas-datums/2026/04/02" TargetMode="External"/><Relationship Id="rId7" Type="http://schemas.openxmlformats.org/officeDocument/2006/relationships/hyperlink" Target="https://likumi.lv/ta/id/334345-elektronisko-sakaru-likums/redakcijas-datums/2025/01/21" TargetMode="External"/><Relationship Id="rId12" Type="http://schemas.openxmlformats.org/officeDocument/2006/relationships/hyperlink" Target="http://eur-lex.europa.eu/eli/dir/2014/61/oj/?locale=LV" TargetMode="External"/><Relationship Id="rId17" Type="http://schemas.openxmlformats.org/officeDocument/2006/relationships/hyperlink" Target="http://eur-lex.europa.eu/eli/dir/2002/22/oj/?locale=LV" TargetMode="External"/><Relationship Id="rId2" Type="http://schemas.openxmlformats.org/officeDocument/2006/relationships/settings" Target="settings.xml"/><Relationship Id="rId16" Type="http://schemas.openxmlformats.org/officeDocument/2006/relationships/hyperlink" Target="http://eur-lex.europa.eu/eli/reg/2015/2120/oj/?locale=LV" TargetMode="External"/><Relationship Id="rId20" Type="http://schemas.openxmlformats.org/officeDocument/2006/relationships/hyperlink" Target="https://likumi.lv/ta/id/367161-grozijumi-elektronisko-sakaru-likuma" TargetMode="External"/><Relationship Id="rId1" Type="http://schemas.openxmlformats.org/officeDocument/2006/relationships/styles" Target="styles.xml"/><Relationship Id="rId6" Type="http://schemas.openxmlformats.org/officeDocument/2006/relationships/hyperlink" Target="https://likumi.lv/ta/id/357600-grozijumi-elektronisko-sakaru-likuma" TargetMode="External"/><Relationship Id="rId11" Type="http://schemas.openxmlformats.org/officeDocument/2006/relationships/hyperlink" Target="http://eur-lex.europa.eu/eli/reg/2015/2120/oj/?locale=LV"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ikumi.lv/ta/id/334345-elektronisko-sakaru-likums/redakcijas-datums/2026/04/02" TargetMode="External"/><Relationship Id="rId23" Type="http://schemas.openxmlformats.org/officeDocument/2006/relationships/fontTable" Target="fontTable.xml"/><Relationship Id="rId10" Type="http://schemas.openxmlformats.org/officeDocument/2006/relationships/hyperlink" Target="http://eur-lex.europa.eu/eli/reg/2024/1309/oj/?locale=LV" TargetMode="External"/><Relationship Id="rId19" Type="http://schemas.openxmlformats.org/officeDocument/2006/relationships/hyperlink" Target="http://eur-lex.europa.eu/eli/dec/191/20/oj/?locale=LV" TargetMode="External"/><Relationship Id="rId4" Type="http://schemas.openxmlformats.org/officeDocument/2006/relationships/footnotes" Target="footnotes.xml"/><Relationship Id="rId9" Type="http://schemas.openxmlformats.org/officeDocument/2006/relationships/hyperlink" Target="http://eur-lex.europa.eu/eli/dir/2010/40/oj/?locale=LV" TargetMode="External"/><Relationship Id="rId14" Type="http://schemas.openxmlformats.org/officeDocument/2006/relationships/hyperlink" Target="https://likumi.lv/ta/id/367161-grozijumi-elektronisko-sakaru-likuma"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1814</Words>
  <Characters>13293</Characters>
  <Application>Microsoft Office Word</Application>
  <DocSecurity>0</DocSecurity>
  <Lines>203</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Meistere</dc:creator>
  <cp:keywords/>
  <dc:description/>
  <cp:lastModifiedBy>Māra Meistere</cp:lastModifiedBy>
  <cp:revision>2</cp:revision>
  <dcterms:created xsi:type="dcterms:W3CDTF">2026-10-08T11:44:00Z</dcterms:created>
  <dcterms:modified xsi:type="dcterms:W3CDTF">2026-10-08T11:44:00Z</dcterms:modified>
</cp:coreProperties>
</file>