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D251AB" w14:textId="77777777" w:rsidR="00C04E0B" w:rsidRDefault="00027A85">
      <w:pPr>
        <w:ind w:firstLine="708"/>
        <w:jc w:val="center"/>
        <w:rPr>
          <w:sz w:val="28"/>
          <w:szCs w:val="28"/>
        </w:rPr>
      </w:pPr>
      <w:r>
        <w:rPr>
          <w:b/>
          <w:bCs/>
          <w:sz w:val="28"/>
          <w:szCs w:val="28"/>
          <w:u w:val="single"/>
          <w:lang w:val="lv-LV"/>
        </w:rPr>
        <w:t>Sieviešu – parlamentu priekšsēdētāju – kopīgā deklarācija</w:t>
      </w:r>
    </w:p>
    <w:p w14:paraId="2593D4AE" w14:textId="77777777" w:rsidR="00C04E0B" w:rsidRDefault="00C04E0B">
      <w:pPr>
        <w:jc w:val="center"/>
        <w:rPr>
          <w:b/>
          <w:bCs/>
          <w:sz w:val="28"/>
          <w:szCs w:val="28"/>
          <w:u w:val="single"/>
          <w:lang w:val="lv-LV"/>
        </w:rPr>
      </w:pPr>
    </w:p>
    <w:p w14:paraId="3352DC98" w14:textId="77777777" w:rsidR="00C04E0B" w:rsidRDefault="00027A85">
      <w:pPr>
        <w:ind w:left="1416"/>
        <w:jc w:val="center"/>
        <w:rPr>
          <w:sz w:val="28"/>
          <w:szCs w:val="28"/>
        </w:rPr>
      </w:pPr>
      <w:r>
        <w:rPr>
          <w:b/>
          <w:bCs/>
          <w:sz w:val="28"/>
          <w:szCs w:val="28"/>
          <w:u w:val="single"/>
          <w:lang w:val="lv-LV"/>
        </w:rPr>
        <w:t>“Atdodiet afgāņu sievietēm viņu balsi!”</w:t>
      </w:r>
    </w:p>
    <w:p w14:paraId="0CE594B4" w14:textId="77777777" w:rsidR="00C04E0B" w:rsidRDefault="00C04E0B">
      <w:pPr>
        <w:jc w:val="center"/>
        <w:rPr>
          <w:b/>
          <w:bCs/>
          <w:i/>
          <w:iCs/>
          <w:sz w:val="28"/>
          <w:szCs w:val="28"/>
          <w:u w:val="single"/>
          <w:lang w:val="lv-LV"/>
        </w:rPr>
      </w:pPr>
    </w:p>
    <w:p w14:paraId="5E867CEE" w14:textId="77777777" w:rsidR="00C04E0B" w:rsidRDefault="00027A85">
      <w:pPr>
        <w:pStyle w:val="NormalWeb"/>
        <w:spacing w:before="280" w:after="280"/>
        <w:jc w:val="both"/>
        <w:rPr>
          <w:sz w:val="28"/>
          <w:szCs w:val="28"/>
        </w:rPr>
      </w:pPr>
      <w:r>
        <w:rPr>
          <w:rFonts w:eastAsia="Calibri" w:cs="Calibri"/>
          <w:i/>
          <w:iCs/>
          <w:sz w:val="28"/>
          <w:szCs w:val="28"/>
          <w:lang w:val="lv-LV"/>
        </w:rPr>
        <w:t xml:space="preserve"> “2021. gada 15. augustā daļa manis nomira, vai vismaz tā es jutos – manas cerības bija sagrautas, manai izglītībai nebija nozīmes (…). Taču es apzinājos, ka valstī cīnīties vēl ir palikušas daudzas sievietes. Un es nolēmu būt viena no viņām.”</w:t>
      </w:r>
    </w:p>
    <w:p w14:paraId="6873917F" w14:textId="77777777" w:rsidR="00C04E0B" w:rsidRDefault="00027A85">
      <w:pPr>
        <w:pStyle w:val="NormalWeb"/>
        <w:spacing w:before="280" w:after="280"/>
        <w:jc w:val="both"/>
        <w:rPr>
          <w:sz w:val="28"/>
          <w:szCs w:val="28"/>
        </w:rPr>
      </w:pPr>
      <w:r>
        <w:rPr>
          <w:rFonts w:eastAsia="Calibri" w:cs="Calibri"/>
          <w:iCs/>
          <w:sz w:val="28"/>
          <w:szCs w:val="28"/>
          <w:lang w:val="lv-LV"/>
        </w:rPr>
        <w:t xml:space="preserve">Šos vārdus teikusi </w:t>
      </w:r>
      <w:proofErr w:type="spellStart"/>
      <w:r>
        <w:rPr>
          <w:rFonts w:eastAsia="Calibri" w:cs="Calibri"/>
          <w:iCs/>
          <w:sz w:val="28"/>
          <w:szCs w:val="28"/>
          <w:lang w:val="lv-LV"/>
        </w:rPr>
        <w:t>Nasima</w:t>
      </w:r>
      <w:proofErr w:type="spellEnd"/>
      <w:r>
        <w:rPr>
          <w:rStyle w:val="FootnoteReference"/>
          <w:rFonts w:eastAsia="Calibri" w:cs="Calibri"/>
          <w:iCs/>
          <w:sz w:val="28"/>
          <w:szCs w:val="28"/>
          <w:lang w:val="lv-LV"/>
        </w:rPr>
        <w:footnoteReference w:id="1"/>
      </w:r>
      <w:r>
        <w:rPr>
          <w:rFonts w:eastAsia="Calibri" w:cs="Calibri"/>
          <w:iCs/>
          <w:sz w:val="28"/>
          <w:szCs w:val="28"/>
          <w:lang w:val="lv-LV"/>
        </w:rPr>
        <w:t>, sieviešu tiesību aktīviste no Afganistānas. Pēc tam, kad “</w:t>
      </w:r>
      <w:proofErr w:type="spellStart"/>
      <w:r>
        <w:rPr>
          <w:rFonts w:eastAsia="Calibri" w:cs="Calibri"/>
          <w:iCs/>
          <w:sz w:val="28"/>
          <w:szCs w:val="28"/>
          <w:lang w:val="lv-LV"/>
        </w:rPr>
        <w:t>Taliban</w:t>
      </w:r>
      <w:proofErr w:type="spellEnd"/>
      <w:r>
        <w:rPr>
          <w:rFonts w:eastAsia="Calibri" w:cs="Calibri"/>
          <w:iCs/>
          <w:sz w:val="28"/>
          <w:szCs w:val="28"/>
          <w:lang w:val="lv-LV"/>
        </w:rPr>
        <w:t>” sagrāba varu, viņa nolēma palikt dzimtenē, lai aizstāvētu sieviešu tiesības, riskējot ar savu dzīvību.</w:t>
      </w:r>
    </w:p>
    <w:p w14:paraId="34A1A994" w14:textId="77777777" w:rsidR="00C04E0B" w:rsidRDefault="00027A85">
      <w:pPr>
        <w:pStyle w:val="NormalWeb"/>
        <w:spacing w:before="280" w:after="280"/>
        <w:jc w:val="both"/>
        <w:rPr>
          <w:sz w:val="28"/>
          <w:szCs w:val="28"/>
        </w:rPr>
      </w:pPr>
      <w:r>
        <w:rPr>
          <w:rFonts w:eastAsia="Calibri" w:cs="Calibri"/>
          <w:i/>
          <w:iCs/>
          <w:sz w:val="28"/>
          <w:szCs w:val="28"/>
          <w:lang w:val="lv-LV"/>
        </w:rPr>
        <w:t xml:space="preserve"> </w:t>
      </w:r>
      <w:r>
        <w:rPr>
          <w:sz w:val="28"/>
          <w:szCs w:val="28"/>
          <w:lang w:val="lv-LV"/>
        </w:rPr>
        <w:t xml:space="preserve">“Visi cilvēki piedzimst brīvi un vienlīdzīgi savā cieņā un tiesībās.” </w:t>
      </w:r>
      <w:r>
        <w:rPr>
          <w:sz w:val="28"/>
          <w:szCs w:val="28"/>
          <w:lang w:val="lv-LV"/>
        </w:rPr>
        <w:br/>
        <w:t>To nosaka Vispārējās cilvēktiesību deklarācijas pirmais pants. “Visi cilvēki”, tātad arī visas meitenes un visas sievietes.</w:t>
      </w:r>
    </w:p>
    <w:p w14:paraId="38F35095" w14:textId="77777777" w:rsidR="00C04E0B" w:rsidRDefault="00027A85">
      <w:pPr>
        <w:pStyle w:val="NormalWeb"/>
        <w:spacing w:before="280" w:after="280"/>
        <w:jc w:val="both"/>
        <w:rPr>
          <w:sz w:val="28"/>
          <w:szCs w:val="28"/>
        </w:rPr>
      </w:pPr>
      <w:r>
        <w:rPr>
          <w:b/>
          <w:sz w:val="28"/>
          <w:szCs w:val="28"/>
          <w:lang w:val="lv-LV"/>
        </w:rPr>
        <w:t xml:space="preserve">Un tomēr – afgāņu sievietēm pašām savā zemē ir atņemtas </w:t>
      </w:r>
      <w:proofErr w:type="spellStart"/>
      <w:r>
        <w:rPr>
          <w:b/>
          <w:sz w:val="28"/>
          <w:szCs w:val="28"/>
          <w:lang w:val="lv-LV"/>
        </w:rPr>
        <w:t>pamattiesības</w:t>
      </w:r>
      <w:proofErr w:type="spellEnd"/>
      <w:r>
        <w:rPr>
          <w:b/>
          <w:sz w:val="28"/>
          <w:szCs w:val="28"/>
          <w:lang w:val="lv-LV"/>
        </w:rPr>
        <w:t xml:space="preserve"> un laupīta cilvēcība.</w:t>
      </w:r>
    </w:p>
    <w:p w14:paraId="69673859" w14:textId="77777777" w:rsidR="00C04E0B" w:rsidRPr="00F963B0" w:rsidRDefault="00027A85">
      <w:pPr>
        <w:pStyle w:val="NormalWeb"/>
        <w:spacing w:before="280" w:after="280"/>
        <w:jc w:val="both"/>
        <w:rPr>
          <w:sz w:val="28"/>
          <w:szCs w:val="28"/>
        </w:rPr>
      </w:pPr>
      <w:r>
        <w:rPr>
          <w:sz w:val="28"/>
          <w:szCs w:val="28"/>
          <w:lang w:val="lv-LV"/>
        </w:rPr>
        <w:t xml:space="preserve">Pēdējos mēnešos ar jaunāko dekrētu par “nepiedienības novēršanu un tikumības veicināšanu” iedzīta pēdējā nagla sieviešu brīvību zārkā. Turpmāk sievietēm aizliegts pamest mājas bez pavadoņa, viņu </w:t>
      </w:r>
      <w:r w:rsidRPr="00F963B0">
        <w:rPr>
          <w:sz w:val="28"/>
          <w:szCs w:val="28"/>
          <w:lang w:val="lv-LV"/>
        </w:rPr>
        <w:t xml:space="preserve">balsis nedrīkst būt publiski dzirdamas, nav atļauts skaitīt dzeju. </w:t>
      </w:r>
      <w:r w:rsidRPr="00F963B0">
        <w:rPr>
          <w:b/>
          <w:bCs/>
          <w:sz w:val="28"/>
          <w:szCs w:val="28"/>
          <w:lang w:val="lv-LV"/>
        </w:rPr>
        <w:t>V</w:t>
      </w:r>
      <w:r w:rsidRPr="00F963B0">
        <w:rPr>
          <w:b/>
          <w:sz w:val="28"/>
          <w:szCs w:val="28"/>
          <w:lang w:val="lv-LV"/>
        </w:rPr>
        <w:t>iņu noziegums? Būt sievietei. Viņu kļūda? Viņu eksistence.</w:t>
      </w:r>
    </w:p>
    <w:p w14:paraId="37E98E77" w14:textId="77777777" w:rsidR="00027A85" w:rsidRPr="00F963B0" w:rsidRDefault="00027A85" w:rsidP="00027A85">
      <w:pPr>
        <w:pStyle w:val="NormalWeb"/>
        <w:jc w:val="both"/>
        <w:rPr>
          <w:sz w:val="28"/>
          <w:szCs w:val="28"/>
          <w:lang w:val="lv-LV"/>
        </w:rPr>
      </w:pPr>
      <w:r w:rsidRPr="00F963B0">
        <w:rPr>
          <w:sz w:val="28"/>
          <w:szCs w:val="28"/>
          <w:lang w:val="lv-LV"/>
        </w:rPr>
        <w:t xml:space="preserve">Meitenēm un sievietēm vairs nav tiesību dziedāt; jebkāda brīvība mācīties un mācīt citus bija atņemta jau agrāk. Mūsdienās Afganistāna ir vienīgā valsts, kurā aizliegta izglītība sievietēm un meitenēm virs 12 gadu vecuma. Saskaņā ar </w:t>
      </w:r>
      <w:r w:rsidRPr="00F963B0">
        <w:rPr>
          <w:i/>
          <w:sz w:val="28"/>
          <w:szCs w:val="28"/>
          <w:lang w:val="lv-LV"/>
        </w:rPr>
        <w:t>UNESCO</w:t>
      </w:r>
      <w:r w:rsidRPr="00F963B0">
        <w:rPr>
          <w:sz w:val="28"/>
          <w:szCs w:val="28"/>
          <w:lang w:val="lv-LV"/>
        </w:rPr>
        <w:t xml:space="preserve"> datiem tiesības uz izglītību laupītas 80 procentiem jeb 2,5 miljoniem afgāņu skolas vecuma meiteņu. Afgāņu meitenēm nedrīkst liegt universālas </w:t>
      </w:r>
      <w:proofErr w:type="spellStart"/>
      <w:r w:rsidRPr="00F963B0">
        <w:rPr>
          <w:sz w:val="28"/>
          <w:szCs w:val="28"/>
          <w:lang w:val="lv-LV"/>
        </w:rPr>
        <w:t>pamattiesības</w:t>
      </w:r>
      <w:proofErr w:type="spellEnd"/>
      <w:r w:rsidRPr="00F963B0">
        <w:rPr>
          <w:sz w:val="28"/>
          <w:szCs w:val="28"/>
          <w:lang w:val="lv-LV"/>
        </w:rPr>
        <w:t>!</w:t>
      </w:r>
    </w:p>
    <w:p w14:paraId="160B46CC" w14:textId="77777777" w:rsidR="00C04E0B" w:rsidRDefault="00027A85">
      <w:pPr>
        <w:pStyle w:val="NormalWeb"/>
        <w:spacing w:before="280" w:after="280"/>
        <w:jc w:val="both"/>
        <w:rPr>
          <w:sz w:val="28"/>
          <w:szCs w:val="28"/>
        </w:rPr>
      </w:pPr>
      <w:r w:rsidRPr="00F963B0">
        <w:rPr>
          <w:sz w:val="28"/>
          <w:szCs w:val="28"/>
          <w:lang w:val="lv-LV"/>
        </w:rPr>
        <w:t>Tāpēc nelolosim ilūzijas par “</w:t>
      </w:r>
      <w:proofErr w:type="spellStart"/>
      <w:r w:rsidRPr="00F963B0">
        <w:rPr>
          <w:sz w:val="28"/>
          <w:szCs w:val="28"/>
          <w:lang w:val="lv-LV"/>
        </w:rPr>
        <w:t>Taliban</w:t>
      </w:r>
      <w:proofErr w:type="spellEnd"/>
      <w:r w:rsidRPr="00F963B0">
        <w:rPr>
          <w:sz w:val="28"/>
          <w:szCs w:val="28"/>
          <w:lang w:val="lv-LV"/>
        </w:rPr>
        <w:t xml:space="preserve">” režīma arhaisko un </w:t>
      </w:r>
      <w:proofErr w:type="spellStart"/>
      <w:r w:rsidRPr="00F963B0">
        <w:rPr>
          <w:sz w:val="28"/>
          <w:szCs w:val="28"/>
          <w:lang w:val="lv-LV"/>
        </w:rPr>
        <w:t>teokrātisko</w:t>
      </w:r>
      <w:proofErr w:type="spellEnd"/>
      <w:r>
        <w:rPr>
          <w:sz w:val="28"/>
          <w:szCs w:val="28"/>
          <w:lang w:val="lv-LV"/>
        </w:rPr>
        <w:t xml:space="preserve"> dabu, kura noliedz sieviešu cilvēcību un cieņu.</w:t>
      </w:r>
    </w:p>
    <w:p w14:paraId="49A7B23C" w14:textId="77777777" w:rsidR="00C04E0B" w:rsidRDefault="00027A85">
      <w:pPr>
        <w:pStyle w:val="NormalWeb"/>
        <w:spacing w:before="280" w:after="280"/>
        <w:jc w:val="both"/>
        <w:rPr>
          <w:sz w:val="28"/>
          <w:szCs w:val="28"/>
        </w:rPr>
      </w:pPr>
      <w:r>
        <w:rPr>
          <w:b/>
          <w:sz w:val="28"/>
          <w:szCs w:val="28"/>
          <w:lang w:val="lv-LV"/>
        </w:rPr>
        <w:t>Tas ir noziegums, tā ir dzimumā balstīta sistemātiska izrēķināšanās</w:t>
      </w:r>
      <w:r>
        <w:rPr>
          <w:sz w:val="28"/>
          <w:szCs w:val="28"/>
          <w:lang w:val="lv-LV"/>
        </w:rPr>
        <w:t>, kas smagi aizskar jebkuru, it sevišķi mūsu – sieviešu politiķu un parlamentu priekšsēdētāju – saprātu.</w:t>
      </w:r>
    </w:p>
    <w:p w14:paraId="416D957E" w14:textId="77777777" w:rsidR="00C04E0B" w:rsidRDefault="00027A85">
      <w:pPr>
        <w:pStyle w:val="NormalWeb"/>
        <w:spacing w:before="280" w:after="280"/>
        <w:jc w:val="both"/>
        <w:rPr>
          <w:sz w:val="28"/>
          <w:szCs w:val="28"/>
        </w:rPr>
      </w:pPr>
      <w:r>
        <w:rPr>
          <w:b/>
          <w:sz w:val="28"/>
          <w:szCs w:val="28"/>
          <w:lang w:val="lv-LV"/>
        </w:rPr>
        <w:lastRenderedPageBreak/>
        <w:t>Bet, pat ja afgāņu sievietes ir kļuvušas par ēnām pašas savā zemē, viņu balsīm, kuras šodien ir apklusinātas, jāturpina tapt sadzirdētām un atbalsoties mūsu parlamentos.</w:t>
      </w:r>
    </w:p>
    <w:p w14:paraId="240CD99E" w14:textId="77777777" w:rsidR="00C04E0B" w:rsidRDefault="00027A85">
      <w:pPr>
        <w:pStyle w:val="NormalWeb"/>
        <w:spacing w:before="280" w:after="280"/>
        <w:jc w:val="both"/>
        <w:rPr>
          <w:sz w:val="28"/>
          <w:szCs w:val="28"/>
        </w:rPr>
      </w:pPr>
      <w:r>
        <w:rPr>
          <w:sz w:val="28"/>
          <w:szCs w:val="28"/>
          <w:lang w:val="lv-LV"/>
        </w:rPr>
        <w:t>Afgāņu sieviešu cīņa pēdējos trīs gadus tiek apspriesta mūsu debatēs. Tostarp pirmajā Sieviešu-parlamentu priekšsēdētāju samitā, kas šogad 7. martā Parīzē pulcēja 24 no mums, – kopā mēs atkārtoti apliecinājām apņemšanos aizsargāt afgāņu sieviešu tiesības uz izglītību un vēlreiz stingri uzsvērām, ka mūsu parlamenti vienmēr aktīvi iestāsies par sieviešu tiesībām.</w:t>
      </w:r>
    </w:p>
    <w:p w14:paraId="1C0549E2" w14:textId="77777777" w:rsidR="00C04E0B" w:rsidRDefault="00027A85">
      <w:pPr>
        <w:pStyle w:val="NormalWeb"/>
        <w:spacing w:before="280" w:after="280"/>
        <w:jc w:val="both"/>
        <w:rPr>
          <w:sz w:val="28"/>
          <w:szCs w:val="28"/>
        </w:rPr>
      </w:pPr>
      <w:r>
        <w:rPr>
          <w:sz w:val="28"/>
          <w:szCs w:val="28"/>
          <w:lang w:val="lv-LV"/>
        </w:rPr>
        <w:t xml:space="preserve">Un šo pašu cilvēcības un līdztiesības imperatīvu vienmēr konsekventi aizstāvējusi arī Starpparlamentu savienība jeb “parlamentu parlaments”, kurš uzreiz pēc “nepiedienības un tikumības likuma” pieņemšanas pieprasīja tā atcelšanu. </w:t>
      </w:r>
      <w:r>
        <w:rPr>
          <w:b/>
          <w:bCs/>
          <w:sz w:val="28"/>
          <w:szCs w:val="28"/>
          <w:lang w:val="lv-LV"/>
        </w:rPr>
        <w:t>Arī mēs aicinām “</w:t>
      </w:r>
      <w:proofErr w:type="spellStart"/>
      <w:r>
        <w:rPr>
          <w:b/>
          <w:bCs/>
          <w:sz w:val="28"/>
          <w:szCs w:val="28"/>
          <w:lang w:val="lv-LV"/>
        </w:rPr>
        <w:t>Taliban</w:t>
      </w:r>
      <w:proofErr w:type="spellEnd"/>
      <w:r>
        <w:rPr>
          <w:b/>
          <w:bCs/>
          <w:sz w:val="28"/>
          <w:szCs w:val="28"/>
          <w:lang w:val="lv-LV"/>
        </w:rPr>
        <w:t>” režīmu nekavējoties atcelt šo dekrētu un visus pārējos diskriminējošos likumus.</w:t>
      </w:r>
    </w:p>
    <w:p w14:paraId="11F02185" w14:textId="77777777" w:rsidR="00C04E0B" w:rsidRDefault="00027A85">
      <w:pPr>
        <w:pStyle w:val="NormalWeb"/>
        <w:spacing w:before="280" w:after="280"/>
        <w:jc w:val="both"/>
        <w:rPr>
          <w:sz w:val="28"/>
          <w:szCs w:val="28"/>
        </w:rPr>
      </w:pPr>
      <w:r>
        <w:rPr>
          <w:sz w:val="28"/>
          <w:szCs w:val="28"/>
          <w:lang w:val="lv-LV"/>
        </w:rPr>
        <w:t xml:space="preserve">Šodien, pieminot Starptautisko dienu vardarbības pret sievietēm izskaušanai, vēlamies paust arī skaidru apņemšanos: </w:t>
      </w:r>
      <w:r>
        <w:rPr>
          <w:b/>
          <w:bCs/>
          <w:sz w:val="28"/>
          <w:szCs w:val="28"/>
          <w:lang w:val="lv-LV"/>
        </w:rPr>
        <w:t xml:space="preserve">mēs nekad nepametīsim afgāņu sievietes. Mēs turpināsim būt apklusināto sieviešu balsis. </w:t>
      </w:r>
      <w:r>
        <w:rPr>
          <w:sz w:val="28"/>
          <w:szCs w:val="28"/>
          <w:lang w:val="lv-LV"/>
        </w:rPr>
        <w:t>Afgāņu sieviešu situācija visos līmeņos tiks iekļauta mūsu parlamentu diskusijās. Arī otrais Sieviešu-parlamentu priekšsēdētāju samits Kvebekā dos iespēju pastiprināt mūsu kopīgo mobilizāciju vēl vairāk.</w:t>
      </w:r>
    </w:p>
    <w:p w14:paraId="4442AA8E" w14:textId="77777777" w:rsidR="00C04E0B" w:rsidRDefault="00027A85">
      <w:pPr>
        <w:pStyle w:val="NormalWeb"/>
        <w:spacing w:before="280" w:after="280"/>
        <w:jc w:val="both"/>
        <w:rPr>
          <w:sz w:val="28"/>
          <w:szCs w:val="28"/>
        </w:rPr>
      </w:pPr>
      <w:r>
        <w:rPr>
          <w:b/>
          <w:sz w:val="28"/>
          <w:szCs w:val="28"/>
          <w:lang w:val="lv-LV"/>
        </w:rPr>
        <w:t xml:space="preserve">Patiesi, mūsu parlamentārajai diplomātijai vairāk nekā jebkad agrāk jāstrādā sieviešu labā. </w:t>
      </w:r>
      <w:r>
        <w:rPr>
          <w:sz w:val="28"/>
          <w:szCs w:val="28"/>
          <w:lang w:val="lv-LV"/>
        </w:rPr>
        <w:t xml:space="preserve">Tāpēc mēs saglabāsim modrību un nelokāmu nostāju, lai mūsu valdības turpinātu cīnīties par afgāņu sieviešu </w:t>
      </w:r>
      <w:proofErr w:type="spellStart"/>
      <w:r>
        <w:rPr>
          <w:sz w:val="28"/>
          <w:szCs w:val="28"/>
          <w:lang w:val="lv-LV"/>
        </w:rPr>
        <w:t>pamattiesībām</w:t>
      </w:r>
      <w:proofErr w:type="spellEnd"/>
      <w:r>
        <w:rPr>
          <w:sz w:val="28"/>
          <w:szCs w:val="28"/>
          <w:lang w:val="lv-LV"/>
        </w:rPr>
        <w:t xml:space="preserve"> un lai nodrošinātu nepārtrauktu un plašāku humāno palīdzību, jo tās nozīme ir neaizstājama.</w:t>
      </w:r>
    </w:p>
    <w:p w14:paraId="4C95EF1D" w14:textId="77777777" w:rsidR="00C04E0B" w:rsidRDefault="00027A85">
      <w:pPr>
        <w:pStyle w:val="NormalWeb"/>
        <w:spacing w:before="280" w:after="280"/>
        <w:jc w:val="both"/>
        <w:rPr>
          <w:sz w:val="28"/>
          <w:szCs w:val="28"/>
        </w:rPr>
      </w:pPr>
      <w:r>
        <w:rPr>
          <w:sz w:val="28"/>
          <w:szCs w:val="28"/>
          <w:lang w:val="lv-LV"/>
        </w:rPr>
        <w:t>Turklāt mēs apņemamies aizstāvēt sieviešu tiesības visur, kur tās tiek mīdītas kājām un iznīdētas, – gan, protams, Afganistānā, gan arī Irānā un jebkur citur, kur tās apdraud fanātisms un tumsonība. Tostarp mūsu pašu valstīs, kurās aizvien lielāku ietekmi gūst pret tiesībām vērstas kustības un kurās vardarbības izskaušanu pret sievietēm visās tās formās nekādā gadījumā nevar uztvert par pašsaprotamu.</w:t>
      </w:r>
    </w:p>
    <w:p w14:paraId="2F030A19" w14:textId="77777777" w:rsidR="00C04E0B" w:rsidRDefault="00027A85">
      <w:pPr>
        <w:pStyle w:val="NormalWeb"/>
        <w:spacing w:before="280" w:after="280"/>
        <w:jc w:val="both"/>
        <w:rPr>
          <w:b/>
          <w:bCs/>
          <w:sz w:val="28"/>
          <w:szCs w:val="28"/>
        </w:rPr>
      </w:pPr>
      <w:r>
        <w:rPr>
          <w:b/>
          <w:bCs/>
          <w:sz w:val="28"/>
          <w:szCs w:val="28"/>
          <w:lang w:val="lv-LV"/>
        </w:rPr>
        <w:t>Šī cīņa par līdztiesību, cieņu un brīvību ir visu sieviešu cīņa. Šī ir cīņa par mūsu kopīgo cilvēcību. Mēs nekad nepārstāsim par to cīnīties.</w:t>
      </w:r>
    </w:p>
    <w:sectPr w:rsidR="00C04E0B">
      <w:footerReference w:type="even" r:id="rId7"/>
      <w:footerReference w:type="default" r:id="rId8"/>
      <w:footerReference w:type="first" r:id="rId9"/>
      <w:pgSz w:w="11906" w:h="16838"/>
      <w:pgMar w:top="1417" w:right="1417" w:bottom="337" w:left="1417" w:header="0" w:footer="28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D56BBB" w14:textId="77777777" w:rsidR="00546241" w:rsidRDefault="00546241">
      <w:r>
        <w:separator/>
      </w:r>
    </w:p>
  </w:endnote>
  <w:endnote w:type="continuationSeparator" w:id="0">
    <w:p w14:paraId="45538E10" w14:textId="77777777" w:rsidR="00546241" w:rsidRDefault="005462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Liberation Sans">
    <w:altName w:val="Arial"/>
    <w:charset w:val="01"/>
    <w:family w:val="swiss"/>
    <w:pitch w:val="variable"/>
  </w:font>
  <w:font w:name="Noto Sans">
    <w:charset w:val="00"/>
    <w:family w:val="swiss"/>
    <w:pitch w:val="variable"/>
    <w:sig w:usb0="E00082FF" w:usb1="400078FF" w:usb2="00000021" w:usb3="00000000" w:csb0="0000019F" w:csb1="00000000"/>
  </w:font>
  <w:font w:name="Noto Sans Devanagari">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1CD59" w14:textId="77777777" w:rsidR="00C04E0B" w:rsidRDefault="00C04E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8636285"/>
      <w:docPartObj>
        <w:docPartGallery w:val="Page Numbers (Top of Page)"/>
        <w:docPartUnique/>
      </w:docPartObj>
    </w:sdtPr>
    <w:sdtEndPr/>
    <w:sdtContent>
      <w:p w14:paraId="7AD1B1DE" w14:textId="77777777" w:rsidR="00C04E0B" w:rsidRDefault="00C04E0B">
        <w:pPr>
          <w:pStyle w:val="Footer"/>
          <w:jc w:val="center"/>
          <w:rPr>
            <w:sz w:val="20"/>
            <w:szCs w:val="20"/>
          </w:rPr>
        </w:pPr>
      </w:p>
      <w:p w14:paraId="59A19DFD" w14:textId="77777777" w:rsidR="00C04E0B" w:rsidRDefault="00C04E0B">
        <w:pPr>
          <w:pStyle w:val="Footer"/>
          <w:jc w:val="center"/>
          <w:rPr>
            <w:sz w:val="20"/>
            <w:szCs w:val="20"/>
          </w:rPr>
        </w:pPr>
      </w:p>
      <w:p w14:paraId="2836D4FE" w14:textId="77777777" w:rsidR="00C04E0B" w:rsidRDefault="00027A85">
        <w:pPr>
          <w:pStyle w:val="Footer"/>
          <w:jc w:val="center"/>
          <w:rPr>
            <w:sz w:val="20"/>
            <w:szCs w:val="20"/>
          </w:rPr>
        </w:pPr>
        <w:r>
          <w:rPr>
            <w:b/>
            <w:bCs/>
            <w:sz w:val="20"/>
            <w:szCs w:val="20"/>
          </w:rPr>
          <w:fldChar w:fldCharType="begin"/>
        </w:r>
        <w:r>
          <w:rPr>
            <w:b/>
            <w:bCs/>
            <w:sz w:val="20"/>
            <w:szCs w:val="20"/>
          </w:rPr>
          <w:instrText xml:space="preserve"> PAGE </w:instrText>
        </w:r>
        <w:r>
          <w:rPr>
            <w:b/>
            <w:bCs/>
            <w:sz w:val="20"/>
            <w:szCs w:val="20"/>
          </w:rPr>
          <w:fldChar w:fldCharType="separate"/>
        </w:r>
        <w:r>
          <w:rPr>
            <w:b/>
            <w:bCs/>
            <w:noProof/>
            <w:sz w:val="20"/>
            <w:szCs w:val="20"/>
          </w:rPr>
          <w:t>2</w:t>
        </w:r>
        <w:r>
          <w:rPr>
            <w:b/>
            <w:bCs/>
            <w:sz w:val="20"/>
            <w:szCs w:val="20"/>
          </w:rPr>
          <w:fldChar w:fldCharType="end"/>
        </w:r>
        <w:r>
          <w:rPr>
            <w:b/>
            <w:bCs/>
            <w:sz w:val="20"/>
            <w:szCs w:val="20"/>
          </w:rPr>
          <w:t>.</w:t>
        </w:r>
        <w:r>
          <w:rPr>
            <w:sz w:val="20"/>
            <w:szCs w:val="20"/>
          </w:rPr>
          <w:t xml:space="preserve"> </w:t>
        </w:r>
        <w:proofErr w:type="spellStart"/>
        <w:proofErr w:type="gramStart"/>
        <w:r>
          <w:rPr>
            <w:sz w:val="20"/>
            <w:szCs w:val="20"/>
          </w:rPr>
          <w:t>lpp</w:t>
        </w:r>
        <w:proofErr w:type="spellEnd"/>
        <w:proofErr w:type="gramEnd"/>
        <w:r>
          <w:rPr>
            <w:sz w:val="20"/>
            <w:szCs w:val="20"/>
          </w:rPr>
          <w:t xml:space="preserve"> no </w:t>
        </w:r>
        <w:r>
          <w:rPr>
            <w:b/>
            <w:bCs/>
            <w:sz w:val="20"/>
            <w:szCs w:val="20"/>
          </w:rPr>
          <w:fldChar w:fldCharType="begin"/>
        </w:r>
        <w:r>
          <w:rPr>
            <w:b/>
            <w:bCs/>
            <w:sz w:val="20"/>
            <w:szCs w:val="20"/>
          </w:rPr>
          <w:instrText xml:space="preserve"> NUMPAGES </w:instrText>
        </w:r>
        <w:r>
          <w:rPr>
            <w:b/>
            <w:bCs/>
            <w:sz w:val="20"/>
            <w:szCs w:val="20"/>
          </w:rPr>
          <w:fldChar w:fldCharType="separate"/>
        </w:r>
        <w:r>
          <w:rPr>
            <w:b/>
            <w:bCs/>
            <w:noProof/>
            <w:sz w:val="20"/>
            <w:szCs w:val="20"/>
          </w:rPr>
          <w:t>2</w:t>
        </w:r>
        <w:r>
          <w:rPr>
            <w:b/>
            <w:bCs/>
            <w:sz w:val="20"/>
            <w:szCs w:val="20"/>
          </w:rPr>
          <w:fldChar w:fldCharType="end"/>
        </w:r>
        <w:r>
          <w:rPr>
            <w:sz w:val="20"/>
            <w:szCs w:val="20"/>
          </w:rPr>
          <w:t xml:space="preserve"> </w:t>
        </w:r>
        <w:proofErr w:type="spellStart"/>
        <w:r>
          <w:rPr>
            <w:sz w:val="20"/>
            <w:szCs w:val="20"/>
          </w:rPr>
          <w:t>lpp</w:t>
        </w:r>
        <w:proofErr w:type="spellEnd"/>
        <w:r>
          <w:rPr>
            <w:sz w:val="20"/>
            <w:szCs w:val="20"/>
          </w:rPr>
          <w:t>.</w:t>
        </w:r>
      </w:p>
    </w:sdtContent>
  </w:sdt>
  <w:p w14:paraId="5A95E532" w14:textId="77777777" w:rsidR="00C04E0B" w:rsidRDefault="00C04E0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2616998"/>
      <w:docPartObj>
        <w:docPartGallery w:val="Page Numbers (Top of Page)"/>
        <w:docPartUnique/>
      </w:docPartObj>
    </w:sdtPr>
    <w:sdtEndPr/>
    <w:sdtContent>
      <w:p w14:paraId="1C3FB1A8" w14:textId="77777777" w:rsidR="00C04E0B" w:rsidRDefault="00C04E0B">
        <w:pPr>
          <w:pStyle w:val="Footer"/>
          <w:jc w:val="center"/>
          <w:rPr>
            <w:sz w:val="20"/>
            <w:szCs w:val="20"/>
          </w:rPr>
        </w:pPr>
      </w:p>
      <w:p w14:paraId="528F4209" w14:textId="77777777" w:rsidR="00C04E0B" w:rsidRDefault="00C04E0B">
        <w:pPr>
          <w:pStyle w:val="Footer"/>
          <w:jc w:val="center"/>
          <w:rPr>
            <w:sz w:val="20"/>
            <w:szCs w:val="20"/>
          </w:rPr>
        </w:pPr>
      </w:p>
      <w:p w14:paraId="5CE54276" w14:textId="77777777" w:rsidR="00C04E0B" w:rsidRDefault="00027A85">
        <w:pPr>
          <w:pStyle w:val="Footer"/>
          <w:jc w:val="center"/>
          <w:rPr>
            <w:sz w:val="20"/>
            <w:szCs w:val="20"/>
          </w:rPr>
        </w:pPr>
        <w:r>
          <w:rPr>
            <w:b/>
            <w:bCs/>
            <w:sz w:val="20"/>
            <w:szCs w:val="20"/>
          </w:rPr>
          <w:fldChar w:fldCharType="begin"/>
        </w:r>
        <w:r>
          <w:rPr>
            <w:b/>
            <w:bCs/>
            <w:sz w:val="20"/>
            <w:szCs w:val="20"/>
          </w:rPr>
          <w:instrText xml:space="preserve"> PAGE </w:instrText>
        </w:r>
        <w:r>
          <w:rPr>
            <w:b/>
            <w:bCs/>
            <w:sz w:val="20"/>
            <w:szCs w:val="20"/>
          </w:rPr>
          <w:fldChar w:fldCharType="separate"/>
        </w:r>
        <w:r>
          <w:rPr>
            <w:b/>
            <w:bCs/>
            <w:sz w:val="20"/>
            <w:szCs w:val="20"/>
          </w:rPr>
          <w:t>2</w:t>
        </w:r>
        <w:r>
          <w:rPr>
            <w:b/>
            <w:bCs/>
            <w:sz w:val="20"/>
            <w:szCs w:val="20"/>
          </w:rPr>
          <w:fldChar w:fldCharType="end"/>
        </w:r>
        <w:r>
          <w:rPr>
            <w:b/>
            <w:bCs/>
            <w:sz w:val="20"/>
            <w:szCs w:val="20"/>
          </w:rPr>
          <w:t>.</w:t>
        </w:r>
        <w:r>
          <w:rPr>
            <w:sz w:val="20"/>
            <w:szCs w:val="20"/>
          </w:rPr>
          <w:t xml:space="preserve"> </w:t>
        </w:r>
        <w:proofErr w:type="spellStart"/>
        <w:proofErr w:type="gramStart"/>
        <w:r>
          <w:rPr>
            <w:sz w:val="20"/>
            <w:szCs w:val="20"/>
          </w:rPr>
          <w:t>lpp</w:t>
        </w:r>
        <w:proofErr w:type="spellEnd"/>
        <w:proofErr w:type="gramEnd"/>
        <w:r>
          <w:rPr>
            <w:sz w:val="20"/>
            <w:szCs w:val="20"/>
          </w:rPr>
          <w:t xml:space="preserve"> no </w:t>
        </w:r>
        <w:r>
          <w:rPr>
            <w:b/>
            <w:bCs/>
            <w:sz w:val="20"/>
            <w:szCs w:val="20"/>
          </w:rPr>
          <w:fldChar w:fldCharType="begin"/>
        </w:r>
        <w:r>
          <w:rPr>
            <w:b/>
            <w:bCs/>
            <w:sz w:val="20"/>
            <w:szCs w:val="20"/>
          </w:rPr>
          <w:instrText xml:space="preserve"> NUMPAGES </w:instrText>
        </w:r>
        <w:r>
          <w:rPr>
            <w:b/>
            <w:bCs/>
            <w:sz w:val="20"/>
            <w:szCs w:val="20"/>
          </w:rPr>
          <w:fldChar w:fldCharType="separate"/>
        </w:r>
        <w:r>
          <w:rPr>
            <w:b/>
            <w:bCs/>
            <w:sz w:val="20"/>
            <w:szCs w:val="20"/>
          </w:rPr>
          <w:t>2</w:t>
        </w:r>
        <w:r>
          <w:rPr>
            <w:b/>
            <w:bCs/>
            <w:sz w:val="20"/>
            <w:szCs w:val="20"/>
          </w:rPr>
          <w:fldChar w:fldCharType="end"/>
        </w:r>
        <w:r>
          <w:rPr>
            <w:sz w:val="20"/>
            <w:szCs w:val="20"/>
          </w:rPr>
          <w:t xml:space="preserve"> </w:t>
        </w:r>
        <w:proofErr w:type="spellStart"/>
        <w:r>
          <w:rPr>
            <w:sz w:val="20"/>
            <w:szCs w:val="20"/>
          </w:rPr>
          <w:t>lpp</w:t>
        </w:r>
        <w:proofErr w:type="spellEnd"/>
        <w:r>
          <w:rPr>
            <w:sz w:val="20"/>
            <w:szCs w:val="20"/>
          </w:rPr>
          <w:t>.</w:t>
        </w:r>
      </w:p>
    </w:sdtContent>
  </w:sdt>
  <w:p w14:paraId="623397FC" w14:textId="77777777" w:rsidR="00C04E0B" w:rsidRDefault="00C04E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E65D19" w14:textId="77777777" w:rsidR="00546241" w:rsidRDefault="00546241">
      <w:r>
        <w:separator/>
      </w:r>
    </w:p>
  </w:footnote>
  <w:footnote w:type="continuationSeparator" w:id="0">
    <w:p w14:paraId="3F5EA54F" w14:textId="77777777" w:rsidR="00546241" w:rsidRDefault="00546241">
      <w:r>
        <w:continuationSeparator/>
      </w:r>
    </w:p>
  </w:footnote>
  <w:footnote w:id="1">
    <w:p w14:paraId="5F242ACB" w14:textId="77777777" w:rsidR="00C04E0B" w:rsidRDefault="00027A85">
      <w:pPr>
        <w:pStyle w:val="FootnoteText"/>
        <w:rPr>
          <w:lang w:val="en-IE"/>
        </w:rPr>
      </w:pPr>
      <w:r>
        <w:rPr>
          <w:rStyle w:val="FootnoteCharacters"/>
        </w:rPr>
        <w:footnoteRef/>
      </w:r>
      <w:proofErr w:type="spellStart"/>
      <w:r>
        <w:rPr>
          <w:lang w:val="en-IE"/>
        </w:rPr>
        <w:t>Vārds</w:t>
      </w:r>
      <w:proofErr w:type="spellEnd"/>
      <w:r>
        <w:rPr>
          <w:lang w:val="en-IE"/>
        </w:rPr>
        <w:t xml:space="preserve"> </w:t>
      </w:r>
      <w:proofErr w:type="spellStart"/>
      <w:r>
        <w:rPr>
          <w:lang w:val="en-IE"/>
        </w:rPr>
        <w:t>mainīts</w:t>
      </w:r>
      <w:proofErr w:type="spellEnd"/>
      <w:r>
        <w:rPr>
          <w:lang w:val="en-IE"/>
        </w:rPr>
        <w:t xml:space="preserve"> </w:t>
      </w:r>
      <w:proofErr w:type="spellStart"/>
      <w:r>
        <w:rPr>
          <w:lang w:val="en-IE"/>
        </w:rPr>
        <w:t>drošības</w:t>
      </w:r>
      <w:proofErr w:type="spellEnd"/>
      <w:r>
        <w:rPr>
          <w:lang w:val="en-IE"/>
        </w:rPr>
        <w:t xml:space="preserve"> </w:t>
      </w:r>
      <w:proofErr w:type="spellStart"/>
      <w:r>
        <w:rPr>
          <w:lang w:val="en-IE"/>
        </w:rPr>
        <w:t>apsvērumu</w:t>
      </w:r>
      <w:proofErr w:type="spellEnd"/>
      <w:r>
        <w:rPr>
          <w:lang w:val="en-IE"/>
        </w:rPr>
        <w:t xml:space="preserve"> </w:t>
      </w:r>
      <w:proofErr w:type="spellStart"/>
      <w:r>
        <w:rPr>
          <w:lang w:val="en-IE"/>
        </w:rPr>
        <w:t>dēļ</w:t>
      </w:r>
      <w:proofErr w:type="spellEnd"/>
      <w:r>
        <w:rPr>
          <w:lang w:val="en-IE"/>
        </w:rPr>
        <w:t xml:space="preserve">. </w:t>
      </w:r>
      <w:proofErr w:type="spellStart"/>
      <w:r>
        <w:rPr>
          <w:lang w:val="en-IE"/>
        </w:rPr>
        <w:t>Avots</w:t>
      </w:r>
      <w:proofErr w:type="spellEnd"/>
      <w:r>
        <w:rPr>
          <w:lang w:val="en-IE"/>
        </w:rPr>
        <w:t xml:space="preserve">: ANO </w:t>
      </w:r>
      <w:proofErr w:type="spellStart"/>
      <w:r>
        <w:rPr>
          <w:lang w:val="en-IE"/>
        </w:rPr>
        <w:t>Dzimumu</w:t>
      </w:r>
      <w:proofErr w:type="spellEnd"/>
      <w:r>
        <w:rPr>
          <w:lang w:val="en-IE"/>
        </w:rPr>
        <w:t xml:space="preserve"> </w:t>
      </w:r>
      <w:proofErr w:type="spellStart"/>
      <w:r>
        <w:rPr>
          <w:lang w:val="en-IE"/>
        </w:rPr>
        <w:t>līdztiesības</w:t>
      </w:r>
      <w:proofErr w:type="spellEnd"/>
      <w:r>
        <w:rPr>
          <w:lang w:val="en-IE"/>
        </w:rPr>
        <w:t xml:space="preserve"> un </w:t>
      </w:r>
      <w:proofErr w:type="spellStart"/>
      <w:r>
        <w:rPr>
          <w:lang w:val="en-IE"/>
        </w:rPr>
        <w:t>sieviešu</w:t>
      </w:r>
      <w:proofErr w:type="spellEnd"/>
      <w:r>
        <w:rPr>
          <w:lang w:val="en-IE"/>
        </w:rPr>
        <w:t xml:space="preserve"> </w:t>
      </w:r>
      <w:proofErr w:type="spellStart"/>
      <w:r>
        <w:rPr>
          <w:lang w:val="en-IE"/>
        </w:rPr>
        <w:t>iespēju</w:t>
      </w:r>
      <w:proofErr w:type="spellEnd"/>
      <w:r>
        <w:rPr>
          <w:lang w:val="en-IE"/>
        </w:rPr>
        <w:t xml:space="preserve"> </w:t>
      </w:r>
      <w:proofErr w:type="spellStart"/>
      <w:r>
        <w:rPr>
          <w:lang w:val="en-IE"/>
        </w:rPr>
        <w:t>veicināšanas</w:t>
      </w:r>
      <w:proofErr w:type="spellEnd"/>
      <w:r>
        <w:rPr>
          <w:lang w:val="en-IE"/>
        </w:rPr>
        <w:t xml:space="preserve"> </w:t>
      </w:r>
      <w:proofErr w:type="spellStart"/>
      <w:r>
        <w:rPr>
          <w:lang w:val="en-IE"/>
        </w:rPr>
        <w:t>institūcijas</w:t>
      </w:r>
      <w:proofErr w:type="spellEnd"/>
      <w:r>
        <w:rPr>
          <w:lang w:val="en-IE"/>
        </w:rPr>
        <w:t xml:space="preserve"> (</w:t>
      </w:r>
      <w:r>
        <w:rPr>
          <w:i/>
          <w:lang w:val="en-IE"/>
        </w:rPr>
        <w:t>UN Women</w:t>
      </w:r>
      <w:r>
        <w:rPr>
          <w:lang w:val="en-IE"/>
        </w:rPr>
        <w:t xml:space="preserve">) </w:t>
      </w:r>
      <w:proofErr w:type="spellStart"/>
      <w:r>
        <w:rPr>
          <w:lang w:val="en-IE"/>
        </w:rPr>
        <w:t>liecība</w:t>
      </w:r>
      <w:proofErr w:type="spellEnd"/>
      <w:r>
        <w:rPr>
          <w:lang w:val="en-IE"/>
        </w:rPr>
        <w:t xml:space="preserve"> (</w:t>
      </w:r>
      <w:proofErr w:type="spellStart"/>
      <w:r>
        <w:rPr>
          <w:lang w:val="en-IE"/>
        </w:rPr>
        <w:t>tulkota</w:t>
      </w:r>
      <w:proofErr w:type="spellEnd"/>
      <w:r>
        <w:rPr>
          <w:lang w:val="en-IE"/>
        </w:rPr>
        <w:t xml:space="preserve"> no </w:t>
      </w:r>
      <w:proofErr w:type="spellStart"/>
      <w:r>
        <w:rPr>
          <w:lang w:val="en-IE"/>
        </w:rPr>
        <w:t>angļu</w:t>
      </w:r>
      <w:proofErr w:type="spellEnd"/>
      <w:r>
        <w:rPr>
          <w:lang w:val="en-IE"/>
        </w:rPr>
        <w:t xml:space="preserve"> </w:t>
      </w:r>
      <w:proofErr w:type="spellStart"/>
      <w:r>
        <w:rPr>
          <w:lang w:val="en-IE"/>
        </w:rPr>
        <w:t>valodas</w:t>
      </w:r>
      <w:proofErr w:type="spellEnd"/>
      <w:r>
        <w:rPr>
          <w:lang w:val="en-IE"/>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4E0B"/>
    <w:rsid w:val="00027A85"/>
    <w:rsid w:val="0020163B"/>
    <w:rsid w:val="00546241"/>
    <w:rsid w:val="00AC119A"/>
    <w:rsid w:val="00C04E0B"/>
    <w:rsid w:val="00F963B0"/>
  </w:rsids>
  <m:mathPr>
    <m:mathFont m:val="Cambria Math"/>
    <m:brkBin m:val="before"/>
    <m:brkBinSub m:val="--"/>
    <m:smallFrac m:val="0"/>
    <m:dispDef/>
    <m:lMargin m:val="0"/>
    <m:rMargin m:val="0"/>
    <m:defJc m:val="centerGroup"/>
    <m:wrapIndent m:val="1440"/>
    <m:intLim m:val="subSup"/>
    <m:naryLim m:val="undOvr"/>
  </m:mathPr>
  <w:themeFontLang w:val="fr-F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857FD"/>
  <w15:docId w15:val="{178D8E12-D390-4262-B7F8-A11434E38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Calibri" w:hAnsiTheme="minorHAnsi" w:cstheme="minorBidi"/>
        <w:kern w:val="2"/>
        <w:sz w:val="22"/>
        <w:szCs w:val="22"/>
        <w:lang w:val="fr-F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53F3"/>
    <w:pPr>
      <w:widowControl w:val="0"/>
    </w:pPr>
    <w:rPr>
      <w:rFonts w:ascii="Times New Roman" w:hAnsi="Times New Roman" w:cs="Calibri"/>
      <w:kern w:val="0"/>
      <w:sz w:val="24"/>
      <w:lang w:eastAsia="fr-FR"/>
    </w:rPr>
  </w:style>
  <w:style w:type="paragraph" w:styleId="Heading1">
    <w:name w:val="heading 1"/>
    <w:basedOn w:val="Normal"/>
    <w:next w:val="Normal"/>
    <w:link w:val="Heading1Char"/>
    <w:autoRedefine/>
    <w:uiPriority w:val="9"/>
    <w:qFormat/>
    <w:rsid w:val="005E341B"/>
    <w:pPr>
      <w:keepNext/>
      <w:keepLines/>
      <w:widowControl/>
      <w:spacing w:before="480" w:after="200" w:line="276" w:lineRule="auto"/>
      <w:outlineLvl w:val="0"/>
    </w:pPr>
    <w:rPr>
      <w:rFonts w:eastAsiaTheme="majorEastAsia" w:cstheme="majorBidi"/>
      <w:b/>
      <w:bCs/>
      <w:color w:val="FF0000"/>
      <w:sz w:val="44"/>
      <w:szCs w:val="28"/>
      <w:lang w:eastAsia="en-US"/>
    </w:rPr>
  </w:style>
  <w:style w:type="paragraph" w:styleId="Heading2">
    <w:name w:val="heading 2"/>
    <w:basedOn w:val="Normal"/>
    <w:next w:val="Normal"/>
    <w:link w:val="Heading2Char"/>
    <w:autoRedefine/>
    <w:uiPriority w:val="9"/>
    <w:semiHidden/>
    <w:unhideWhenUsed/>
    <w:qFormat/>
    <w:rsid w:val="00026791"/>
    <w:pPr>
      <w:keepNext/>
      <w:keepLines/>
      <w:spacing w:before="200"/>
      <w:outlineLvl w:val="1"/>
    </w:pPr>
    <w:rPr>
      <w:rFonts w:asciiTheme="majorHAnsi" w:eastAsiaTheme="majorEastAsia" w:hAnsiTheme="majorHAnsi" w:cstheme="majorBidi"/>
      <w:b/>
      <w:bCs/>
      <w:color w:val="4F6228" w:themeColor="accent3" w:themeShade="80"/>
      <w:sz w:val="32"/>
      <w:szCs w:val="26"/>
      <w:u w:val="single"/>
    </w:rPr>
  </w:style>
  <w:style w:type="paragraph" w:styleId="Heading3">
    <w:name w:val="heading 3"/>
    <w:basedOn w:val="Normal"/>
    <w:next w:val="Normal"/>
    <w:link w:val="Heading3Char"/>
    <w:autoRedefine/>
    <w:uiPriority w:val="9"/>
    <w:semiHidden/>
    <w:unhideWhenUsed/>
    <w:qFormat/>
    <w:rsid w:val="00026791"/>
    <w:pPr>
      <w:keepNext/>
      <w:keepLines/>
      <w:spacing w:before="200"/>
      <w:outlineLvl w:val="2"/>
    </w:pPr>
    <w:rPr>
      <w:rFonts w:ascii="Helvetica" w:eastAsiaTheme="majorEastAsia" w:hAnsi="Helvetica" w:cstheme="majorBidi"/>
      <w:b/>
      <w:bCs/>
      <w:color w:val="0070C0"/>
      <w:szCs w:val="20"/>
    </w:rPr>
  </w:style>
  <w:style w:type="paragraph" w:styleId="Heading4">
    <w:name w:val="heading 4"/>
    <w:basedOn w:val="Normal"/>
    <w:next w:val="Normal"/>
    <w:link w:val="Heading4Char"/>
    <w:uiPriority w:val="9"/>
    <w:semiHidden/>
    <w:unhideWhenUsed/>
    <w:qFormat/>
    <w:rsid w:val="00026791"/>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5E341B"/>
    <w:rPr>
      <w:rFonts w:ascii="Times New Roman" w:eastAsiaTheme="majorEastAsia" w:hAnsi="Times New Roman" w:cstheme="majorBidi"/>
      <w:b/>
      <w:bCs/>
      <w:color w:val="FF0000"/>
      <w:kern w:val="0"/>
      <w:sz w:val="44"/>
      <w:szCs w:val="28"/>
    </w:rPr>
  </w:style>
  <w:style w:type="character" w:customStyle="1" w:styleId="Heading2Char">
    <w:name w:val="Heading 2 Char"/>
    <w:basedOn w:val="DefaultParagraphFont"/>
    <w:link w:val="Heading2"/>
    <w:uiPriority w:val="9"/>
    <w:semiHidden/>
    <w:qFormat/>
    <w:rsid w:val="00026791"/>
    <w:rPr>
      <w:rFonts w:asciiTheme="majorHAnsi" w:eastAsiaTheme="majorEastAsia" w:hAnsiTheme="majorHAnsi" w:cstheme="majorBidi"/>
      <w:b/>
      <w:bCs/>
      <w:color w:val="4F6228" w:themeColor="accent3" w:themeShade="80"/>
      <w:sz w:val="32"/>
      <w:szCs w:val="26"/>
      <w:u w:val="single"/>
    </w:rPr>
  </w:style>
  <w:style w:type="character" w:customStyle="1" w:styleId="Heading3Char">
    <w:name w:val="Heading 3 Char"/>
    <w:basedOn w:val="DefaultParagraphFont"/>
    <w:link w:val="Heading3"/>
    <w:uiPriority w:val="9"/>
    <w:semiHidden/>
    <w:qFormat/>
    <w:rsid w:val="00026791"/>
    <w:rPr>
      <w:rFonts w:ascii="Helvetica" w:eastAsiaTheme="majorEastAsia" w:hAnsi="Helvetica" w:cstheme="majorBidi"/>
      <w:b/>
      <w:bCs/>
      <w:color w:val="0070C0"/>
      <w:sz w:val="24"/>
      <w:szCs w:val="20"/>
    </w:rPr>
  </w:style>
  <w:style w:type="character" w:customStyle="1" w:styleId="Heading4Char">
    <w:name w:val="Heading 4 Char"/>
    <w:basedOn w:val="DefaultParagraphFont"/>
    <w:link w:val="Heading4"/>
    <w:uiPriority w:val="9"/>
    <w:semiHidden/>
    <w:qFormat/>
    <w:rsid w:val="00026791"/>
    <w:rPr>
      <w:rFonts w:asciiTheme="majorHAnsi" w:eastAsiaTheme="majorEastAsia" w:hAnsiTheme="majorHAnsi" w:cstheme="majorBidi"/>
      <w:b/>
      <w:bCs/>
      <w:i/>
      <w:iCs/>
      <w:color w:val="4F81BD" w:themeColor="accent1"/>
      <w:sz w:val="24"/>
    </w:rPr>
  </w:style>
  <w:style w:type="character" w:styleId="Strong">
    <w:name w:val="Strong"/>
    <w:basedOn w:val="DefaultParagraphFont"/>
    <w:uiPriority w:val="22"/>
    <w:qFormat/>
    <w:rsid w:val="00026791"/>
    <w:rPr>
      <w:b/>
      <w:bCs/>
    </w:rPr>
  </w:style>
  <w:style w:type="character" w:styleId="Emphasis">
    <w:name w:val="Emphasis"/>
    <w:basedOn w:val="DefaultParagraphFont"/>
    <w:uiPriority w:val="20"/>
    <w:qFormat/>
    <w:rsid w:val="00026791"/>
    <w:rPr>
      <w:i/>
      <w:iCs/>
    </w:rPr>
  </w:style>
  <w:style w:type="character" w:customStyle="1" w:styleId="FootnoteTextChar">
    <w:name w:val="Footnote Text Char"/>
    <w:basedOn w:val="DefaultParagraphFont"/>
    <w:link w:val="FootnoteText"/>
    <w:uiPriority w:val="99"/>
    <w:qFormat/>
    <w:rsid w:val="001534B5"/>
    <w:rPr>
      <w:rFonts w:ascii="Times New Roman" w:hAnsi="Times New Roman" w:cs="Calibri"/>
      <w:kern w:val="0"/>
      <w:sz w:val="20"/>
      <w:szCs w:val="20"/>
      <w:lang w:eastAsia="fr-FR"/>
    </w:rPr>
  </w:style>
  <w:style w:type="character" w:customStyle="1" w:styleId="FootnoteCharacters">
    <w:name w:val="Footnote Characters"/>
    <w:uiPriority w:val="99"/>
    <w:semiHidden/>
    <w:unhideWhenUsed/>
    <w:qFormat/>
    <w:rsid w:val="001534B5"/>
    <w:rPr>
      <w:vertAlign w:val="superscript"/>
    </w:rPr>
  </w:style>
  <w:style w:type="character" w:styleId="FootnoteReference">
    <w:name w:val="footnote reference"/>
    <w:rPr>
      <w:vertAlign w:val="superscript"/>
    </w:rPr>
  </w:style>
  <w:style w:type="character" w:customStyle="1" w:styleId="BalloonTextChar">
    <w:name w:val="Balloon Text Char"/>
    <w:basedOn w:val="DefaultParagraphFont"/>
    <w:link w:val="BalloonText"/>
    <w:uiPriority w:val="99"/>
    <w:semiHidden/>
    <w:qFormat/>
    <w:rsid w:val="00AF4BA2"/>
    <w:rPr>
      <w:rFonts w:ascii="Segoe UI" w:hAnsi="Segoe UI" w:cs="Segoe UI"/>
      <w:kern w:val="0"/>
      <w:sz w:val="18"/>
      <w:szCs w:val="18"/>
      <w:lang w:eastAsia="fr-FR"/>
    </w:rPr>
  </w:style>
  <w:style w:type="character" w:styleId="LineNumber">
    <w:name w:val="line number"/>
    <w:basedOn w:val="DefaultParagraphFont"/>
    <w:uiPriority w:val="99"/>
    <w:semiHidden/>
    <w:unhideWhenUsed/>
    <w:rsid w:val="001961BE"/>
  </w:style>
  <w:style w:type="character" w:customStyle="1" w:styleId="HeaderChar">
    <w:name w:val="Header Char"/>
    <w:basedOn w:val="DefaultParagraphFont"/>
    <w:link w:val="Header"/>
    <w:uiPriority w:val="99"/>
    <w:qFormat/>
    <w:rsid w:val="001961BE"/>
    <w:rPr>
      <w:rFonts w:ascii="Times New Roman" w:hAnsi="Times New Roman" w:cs="Calibri"/>
      <w:kern w:val="0"/>
      <w:sz w:val="24"/>
      <w:lang w:eastAsia="fr-FR"/>
    </w:rPr>
  </w:style>
  <w:style w:type="character" w:customStyle="1" w:styleId="FooterChar">
    <w:name w:val="Footer Char"/>
    <w:basedOn w:val="DefaultParagraphFont"/>
    <w:link w:val="Footer"/>
    <w:uiPriority w:val="99"/>
    <w:qFormat/>
    <w:rsid w:val="001961BE"/>
    <w:rPr>
      <w:rFonts w:ascii="Times New Roman" w:hAnsi="Times New Roman" w:cs="Calibri"/>
      <w:kern w:val="0"/>
      <w:sz w:val="24"/>
      <w:lang w:eastAsia="fr-FR"/>
    </w:rPr>
  </w:style>
  <w:style w:type="character" w:customStyle="1" w:styleId="EndnoteCharacters">
    <w:name w:val="Endnote Characters"/>
    <w:qFormat/>
    <w:rPr>
      <w:vertAlign w:val="superscript"/>
    </w:rPr>
  </w:style>
  <w:style w:type="character" w:styleId="EndnoteReference">
    <w:name w:val="endnote reference"/>
    <w:rPr>
      <w:vertAlign w:val="superscript"/>
    </w:rPr>
  </w:style>
  <w:style w:type="paragraph" w:customStyle="1" w:styleId="Heading">
    <w:name w:val="Heading"/>
    <w:basedOn w:val="Normal"/>
    <w:next w:val="BodyText"/>
    <w:qFormat/>
    <w:pPr>
      <w:keepNext/>
      <w:spacing w:before="240" w:after="120"/>
    </w:pPr>
    <w:rPr>
      <w:rFonts w:ascii="Liberation Sans" w:eastAsia="Noto Sans" w:hAnsi="Liberation Sans" w:cs="Noto Sans Devanagari"/>
      <w:sz w:val="28"/>
      <w:szCs w:val="28"/>
    </w:rPr>
  </w:style>
  <w:style w:type="paragraph" w:styleId="BodyText">
    <w:name w:val="Body Text"/>
    <w:basedOn w:val="Normal"/>
    <w:pPr>
      <w:spacing w:after="140" w:line="276" w:lineRule="auto"/>
    </w:pPr>
  </w:style>
  <w:style w:type="paragraph" w:styleId="List">
    <w:name w:val="List"/>
    <w:basedOn w:val="BodyText"/>
    <w:rPr>
      <w:rFonts w:cs="Noto Sans Devanagari"/>
    </w:rPr>
  </w:style>
  <w:style w:type="paragraph" w:styleId="Caption">
    <w:name w:val="caption"/>
    <w:basedOn w:val="Normal"/>
    <w:qFormat/>
    <w:pPr>
      <w:suppressLineNumbers/>
      <w:spacing w:before="120" w:after="120"/>
    </w:pPr>
    <w:rPr>
      <w:rFonts w:cs="Noto Sans Devanagari"/>
      <w:i/>
      <w:iCs/>
      <w:szCs w:val="24"/>
    </w:rPr>
  </w:style>
  <w:style w:type="paragraph" w:customStyle="1" w:styleId="Index">
    <w:name w:val="Index"/>
    <w:basedOn w:val="Normal"/>
    <w:qFormat/>
    <w:pPr>
      <w:suppressLineNumbers/>
    </w:pPr>
    <w:rPr>
      <w:rFonts w:cs="Noto Sans Devanagari"/>
    </w:rPr>
  </w:style>
  <w:style w:type="paragraph" w:styleId="ListParagraph">
    <w:name w:val="List Paragraph"/>
    <w:basedOn w:val="Normal"/>
    <w:uiPriority w:val="34"/>
    <w:qFormat/>
    <w:rsid w:val="00026791"/>
    <w:pPr>
      <w:ind w:left="720"/>
      <w:contextualSpacing/>
    </w:pPr>
  </w:style>
  <w:style w:type="paragraph" w:styleId="IndexHeading">
    <w:name w:val="index heading"/>
    <w:basedOn w:val="Heading"/>
  </w:style>
  <w:style w:type="paragraph" w:styleId="TOCHeading">
    <w:name w:val="TOC Heading"/>
    <w:basedOn w:val="Heading1"/>
    <w:next w:val="Normal"/>
    <w:uiPriority w:val="39"/>
    <w:semiHidden/>
    <w:unhideWhenUsed/>
    <w:qFormat/>
    <w:rsid w:val="00026791"/>
    <w:pPr>
      <w:outlineLvl w:val="9"/>
    </w:pPr>
    <w:rPr>
      <w:rFonts w:asciiTheme="majorHAnsi" w:hAnsiTheme="majorHAnsi"/>
      <w:color w:val="365F91" w:themeColor="accent1" w:themeShade="BF"/>
      <w:sz w:val="28"/>
      <w:lang w:eastAsia="ja-JP"/>
    </w:rPr>
  </w:style>
  <w:style w:type="paragraph" w:styleId="NormalWeb">
    <w:name w:val="Normal (Web)"/>
    <w:basedOn w:val="Normal"/>
    <w:uiPriority w:val="99"/>
    <w:unhideWhenUsed/>
    <w:qFormat/>
    <w:rsid w:val="00DA57E1"/>
    <w:pPr>
      <w:widowControl/>
      <w:spacing w:beforeAutospacing="1" w:afterAutospacing="1"/>
    </w:pPr>
    <w:rPr>
      <w:rFonts w:eastAsia="Times New Roman" w:cs="Times New Roman"/>
      <w:szCs w:val="24"/>
    </w:rPr>
  </w:style>
  <w:style w:type="paragraph" w:styleId="FootnoteText">
    <w:name w:val="footnote text"/>
    <w:basedOn w:val="Normal"/>
    <w:link w:val="FootnoteTextChar"/>
    <w:uiPriority w:val="99"/>
    <w:unhideWhenUsed/>
    <w:rsid w:val="001534B5"/>
    <w:rPr>
      <w:sz w:val="20"/>
      <w:szCs w:val="20"/>
    </w:rPr>
  </w:style>
  <w:style w:type="paragraph" w:styleId="BalloonText">
    <w:name w:val="Balloon Text"/>
    <w:basedOn w:val="Normal"/>
    <w:link w:val="BalloonTextChar"/>
    <w:uiPriority w:val="99"/>
    <w:semiHidden/>
    <w:unhideWhenUsed/>
    <w:qFormat/>
    <w:rsid w:val="00AF4BA2"/>
    <w:rPr>
      <w:rFonts w:ascii="Segoe UI" w:hAnsi="Segoe UI" w:cs="Segoe UI"/>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1961BE"/>
    <w:pPr>
      <w:tabs>
        <w:tab w:val="center" w:pos="4536"/>
        <w:tab w:val="right" w:pos="9072"/>
      </w:tabs>
    </w:pPr>
  </w:style>
  <w:style w:type="paragraph" w:styleId="Footer">
    <w:name w:val="footer"/>
    <w:basedOn w:val="Normal"/>
    <w:link w:val="FooterChar"/>
    <w:uiPriority w:val="99"/>
    <w:unhideWhenUsed/>
    <w:rsid w:val="001961BE"/>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Thème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AC251E-792A-40A4-A816-108B78E0DD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2528</Words>
  <Characters>1441</Characters>
  <Application>Microsoft Office Word</Application>
  <DocSecurity>0</DocSecurity>
  <Lines>12</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alexandre combralier</dc:creator>
  <dc:description/>
  <cp:lastModifiedBy>Arvils Zeltiņš</cp:lastModifiedBy>
  <cp:revision>2</cp:revision>
  <cp:lastPrinted>2024-09-27T13:08:00Z</cp:lastPrinted>
  <dcterms:created xsi:type="dcterms:W3CDTF">2024-11-20T08:14:00Z</dcterms:created>
  <dcterms:modified xsi:type="dcterms:W3CDTF">2024-11-20T08:14:00Z</dcterms:modified>
  <dc:language>lv-LV</dc:language>
</cp:coreProperties>
</file>