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88" w:rsidRPr="00776A88" w:rsidRDefault="00776A88" w:rsidP="00776A88">
      <w:pPr>
        <w:ind w:firstLine="720"/>
        <w:jc w:val="both"/>
        <w:rPr>
          <w:b/>
          <w:u w:val="none"/>
        </w:rPr>
      </w:pPr>
      <w:r w:rsidRPr="00776A88">
        <w:rPr>
          <w:b/>
          <w:u w:val="none"/>
        </w:rPr>
        <w:t>29.01.2014.</w:t>
      </w:r>
    </w:p>
    <w:p w:rsidR="00776A88" w:rsidRDefault="00776A88" w:rsidP="00776A88">
      <w:pPr>
        <w:jc w:val="both"/>
        <w:rPr>
          <w:u w:val="none"/>
        </w:rPr>
      </w:pPr>
    </w:p>
    <w:p w:rsidR="00776A88" w:rsidRPr="00776A88" w:rsidRDefault="00776A88" w:rsidP="00776A88">
      <w:pPr>
        <w:pStyle w:val="ListParagraph"/>
        <w:ind w:left="0" w:firstLine="720"/>
        <w:jc w:val="both"/>
        <w:rPr>
          <w:u w:val="none"/>
        </w:rPr>
      </w:pPr>
      <w:r w:rsidRPr="00776A88">
        <w:rPr>
          <w:u w:val="none"/>
        </w:rPr>
        <w:t>Iepirkuma komisija ir sagatavojusi atbildes uz ieinteresētā piegādātāja uzdotajiem jautājumiem. Turpmāk tekstā iesniegtie jautājumi un sniegtās atbildes:</w:t>
      </w:r>
    </w:p>
    <w:p w:rsidR="00776A88" w:rsidRPr="00776A88" w:rsidRDefault="00776A88" w:rsidP="00776A88">
      <w:pPr>
        <w:rPr>
          <w:u w:val="none"/>
        </w:rPr>
      </w:pPr>
    </w:p>
    <w:p w:rsidR="00776A88" w:rsidRPr="00776A88" w:rsidRDefault="00776A88" w:rsidP="00776A88">
      <w:pPr>
        <w:ind w:firstLine="720"/>
        <w:jc w:val="both"/>
        <w:rPr>
          <w:u w:val="none"/>
        </w:rPr>
      </w:pPr>
      <w:r w:rsidRPr="00776A88">
        <w:rPr>
          <w:u w:val="none"/>
        </w:rPr>
        <w:t>1.Sakarā ar to kad pagaidu elektroapgāde objektam nav paredzēta un projektētā EL apgāde tiek ierīkota pirmajā etapā, vai pietiks elektrības jaudas esošajā situācijā (40-60 kW) būvdarbu uzsākšanai?</w:t>
      </w:r>
    </w:p>
    <w:p w:rsidR="00776A88" w:rsidRPr="00776A88" w:rsidRDefault="00776A88" w:rsidP="00776A88">
      <w:pPr>
        <w:ind w:firstLine="720"/>
        <w:jc w:val="both"/>
        <w:rPr>
          <w:u w:val="none"/>
        </w:rPr>
      </w:pPr>
      <w:r w:rsidRPr="00776A88">
        <w:rPr>
          <w:b/>
          <w:u w:val="none"/>
        </w:rPr>
        <w:t>Atbilde</w:t>
      </w:r>
      <w:r w:rsidRPr="00776A88">
        <w:rPr>
          <w:u w:val="none"/>
        </w:rPr>
        <w:t xml:space="preserve"> – Ēkas esošā elektroapgādes jauda ir 37kW, 80A. </w:t>
      </w:r>
    </w:p>
    <w:p w:rsidR="00776A88" w:rsidRPr="00776A88" w:rsidRDefault="00776A88" w:rsidP="00776A88">
      <w:pPr>
        <w:ind w:firstLine="720"/>
        <w:jc w:val="both"/>
        <w:rPr>
          <w:u w:val="none"/>
        </w:rPr>
      </w:pPr>
    </w:p>
    <w:p w:rsidR="00776A88" w:rsidRPr="00776A88" w:rsidRDefault="00776A88" w:rsidP="00776A88">
      <w:pPr>
        <w:ind w:firstLine="720"/>
        <w:jc w:val="both"/>
        <w:rPr>
          <w:u w:val="none"/>
        </w:rPr>
      </w:pPr>
      <w:r w:rsidRPr="00776A88">
        <w:rPr>
          <w:u w:val="none"/>
        </w:rPr>
        <w:t>2.Projekta VS sadaļā (piekļuves kontrole) lapā VS-AC-03 ir rādīts „mantu rentgens”, tendera tāmēs šāda iekārta nav paredzēta. Vai pretendentam šādas aparatūra izmaksas ir jāiekļauj savā piedāvājumā?</w:t>
      </w:r>
    </w:p>
    <w:p w:rsidR="00776A88" w:rsidRPr="00776A88" w:rsidRDefault="00776A88" w:rsidP="00776A88">
      <w:pPr>
        <w:ind w:left="720"/>
        <w:jc w:val="both"/>
        <w:rPr>
          <w:u w:val="none"/>
        </w:rPr>
      </w:pPr>
      <w:r w:rsidRPr="00776A88">
        <w:rPr>
          <w:b/>
          <w:u w:val="none"/>
        </w:rPr>
        <w:t>Atbilde</w:t>
      </w:r>
      <w:r w:rsidRPr="00776A88">
        <w:rPr>
          <w:u w:val="none"/>
        </w:rPr>
        <w:t xml:space="preserve"> – Mantu rentgena izmaksas piedāvājumā nav jāiekļauj.</w:t>
      </w:r>
    </w:p>
    <w:p w:rsidR="00776A88" w:rsidRPr="00776A88" w:rsidRDefault="00776A88" w:rsidP="00776A88">
      <w:pPr>
        <w:ind w:firstLine="720"/>
        <w:jc w:val="both"/>
        <w:rPr>
          <w:u w:val="none"/>
        </w:rPr>
      </w:pPr>
    </w:p>
    <w:p w:rsidR="00776A88" w:rsidRPr="00776A88" w:rsidRDefault="00776A88" w:rsidP="00776A88">
      <w:pPr>
        <w:ind w:firstLine="720"/>
        <w:jc w:val="both"/>
        <w:rPr>
          <w:u w:val="none"/>
        </w:rPr>
      </w:pPr>
      <w:r w:rsidRPr="00776A88">
        <w:rPr>
          <w:u w:val="none"/>
        </w:rPr>
        <w:t>3.Pirms rakšanas darbiem un ūdens līmeņa pazemināšanas ir jāveic grunts ūdens piesārņojuma analīzes (DOP). Uz kādu piesārņojuma veidu šīs analīzes ir jāveic?</w:t>
      </w:r>
    </w:p>
    <w:p w:rsidR="00776A88" w:rsidRPr="00776A88" w:rsidRDefault="00776A88" w:rsidP="00776A88">
      <w:pPr>
        <w:ind w:firstLine="720"/>
        <w:jc w:val="both"/>
        <w:rPr>
          <w:u w:val="none"/>
        </w:rPr>
      </w:pPr>
      <w:r w:rsidRPr="00776A88">
        <w:rPr>
          <w:b/>
          <w:u w:val="none"/>
        </w:rPr>
        <w:t>Atbilde</w:t>
      </w:r>
      <w:r w:rsidRPr="00776A88">
        <w:rPr>
          <w:u w:val="none"/>
        </w:rPr>
        <w:t xml:space="preserve"> – Precizējam, ka jāveic standarta gruntsūdeņu piesārņojuma analīzes.</w:t>
      </w:r>
    </w:p>
    <w:p w:rsidR="00776A88" w:rsidRPr="00776A88" w:rsidRDefault="00776A88" w:rsidP="00776A88">
      <w:pPr>
        <w:ind w:firstLine="720"/>
        <w:jc w:val="both"/>
        <w:rPr>
          <w:u w:val="none"/>
        </w:rPr>
      </w:pPr>
    </w:p>
    <w:p w:rsidR="00776A88" w:rsidRPr="00776A88" w:rsidRDefault="00776A88" w:rsidP="00776A88">
      <w:pPr>
        <w:ind w:firstLine="720"/>
        <w:jc w:val="both"/>
        <w:rPr>
          <w:u w:val="none"/>
        </w:rPr>
      </w:pPr>
      <w:r w:rsidRPr="00776A88">
        <w:rPr>
          <w:u w:val="none"/>
        </w:rPr>
        <w:t>4. Iekšējās starpsienas ISV 1-4 un ISV 3-3ir norādītas rasējumos, bet nav norādītas tāmēs formā. Vai tās jāiekļauj aprēķinā?</w:t>
      </w:r>
    </w:p>
    <w:p w:rsidR="00776A88" w:rsidRPr="00776A88" w:rsidRDefault="00776A88" w:rsidP="00776A88">
      <w:pPr>
        <w:ind w:firstLine="720"/>
        <w:jc w:val="both"/>
        <w:rPr>
          <w:u w:val="none"/>
        </w:rPr>
      </w:pPr>
      <w:r w:rsidRPr="00776A88">
        <w:rPr>
          <w:b/>
          <w:u w:val="none"/>
        </w:rPr>
        <w:t>Atbilde</w:t>
      </w:r>
      <w:r w:rsidRPr="00776A88">
        <w:rPr>
          <w:u w:val="none"/>
        </w:rPr>
        <w:t xml:space="preserve"> – Apjomu sarakstos koriģēts starpsienu marķējums atbilstoši specifikācijai, tāme 1-9, p.2.3. </w:t>
      </w:r>
    </w:p>
    <w:p w:rsidR="00776A88" w:rsidRPr="00776A88" w:rsidRDefault="00776A88" w:rsidP="00776A88">
      <w:pPr>
        <w:jc w:val="both"/>
        <w:rPr>
          <w:u w:val="none"/>
        </w:rPr>
      </w:pPr>
    </w:p>
    <w:p w:rsidR="00776A88" w:rsidRPr="00776A88" w:rsidRDefault="00776A88" w:rsidP="00776A88">
      <w:pPr>
        <w:ind w:firstLine="720"/>
        <w:jc w:val="both"/>
        <w:rPr>
          <w:u w:val="none"/>
        </w:rPr>
      </w:pPr>
      <w:r w:rsidRPr="00776A88">
        <w:rPr>
          <w:u w:val="none"/>
        </w:rPr>
        <w:t>5. Iekšējās starpsienas ISV2-1 un ISV 4-1 ir norādītas tāmes formā, bet nav  atrodamas rasējumos, lūdzu atsūtīt specifikāciju.</w:t>
      </w:r>
    </w:p>
    <w:p w:rsidR="00776A88" w:rsidRPr="00776A88" w:rsidRDefault="00776A88" w:rsidP="00776A88">
      <w:pPr>
        <w:ind w:firstLine="720"/>
        <w:jc w:val="both"/>
        <w:rPr>
          <w:u w:val="none"/>
        </w:rPr>
      </w:pPr>
      <w:r w:rsidRPr="00776A88">
        <w:rPr>
          <w:b/>
          <w:u w:val="none"/>
        </w:rPr>
        <w:t>Atbilde</w:t>
      </w:r>
      <w:r w:rsidRPr="00776A88">
        <w:rPr>
          <w:u w:val="none"/>
        </w:rPr>
        <w:t xml:space="preserve"> – Apjomu sarakstos koriģēts starpsienu marķējums atbilstoši specifikācijai, tāme 1-9, p.4.3, 5.1.</w:t>
      </w:r>
    </w:p>
    <w:p w:rsidR="00776A88" w:rsidRPr="00776A88" w:rsidRDefault="00776A88" w:rsidP="00776A88">
      <w:pPr>
        <w:ind w:firstLine="720"/>
        <w:jc w:val="both"/>
        <w:rPr>
          <w:u w:val="none"/>
        </w:rPr>
      </w:pPr>
    </w:p>
    <w:p w:rsidR="00776A88" w:rsidRPr="00776A88" w:rsidRDefault="00776A88" w:rsidP="00776A88">
      <w:pPr>
        <w:ind w:firstLine="720"/>
        <w:jc w:val="both"/>
        <w:rPr>
          <w:u w:val="none"/>
        </w:rPr>
      </w:pPr>
      <w:r w:rsidRPr="00776A88">
        <w:rPr>
          <w:u w:val="none"/>
        </w:rPr>
        <w:t xml:space="preserve">6. Logu furnitūras aprakstā norādītas nerūsējošā tērauda eņģes un rokturis  atbilstoši tāds pats, zemāk norādīts, ka rokturim  jābūt </w:t>
      </w:r>
      <w:proofErr w:type="spellStart"/>
      <w:r w:rsidRPr="00776A88">
        <w:rPr>
          <w:u w:val="none"/>
        </w:rPr>
        <w:t>anodētam</w:t>
      </w:r>
      <w:proofErr w:type="spellEnd"/>
      <w:r w:rsidRPr="00776A88">
        <w:rPr>
          <w:u w:val="none"/>
        </w:rPr>
        <w:t>. Lūdzu precizēt roktura un eņģu apdari/materiālu.</w:t>
      </w:r>
    </w:p>
    <w:p w:rsidR="00776A88" w:rsidRPr="00776A88" w:rsidRDefault="00776A88" w:rsidP="00776A88">
      <w:pPr>
        <w:ind w:left="720"/>
        <w:jc w:val="both"/>
        <w:rPr>
          <w:u w:val="none"/>
        </w:rPr>
      </w:pPr>
      <w:r w:rsidRPr="00776A88">
        <w:rPr>
          <w:b/>
          <w:u w:val="none"/>
        </w:rPr>
        <w:t>Atbilde</w:t>
      </w:r>
      <w:r w:rsidRPr="00776A88">
        <w:rPr>
          <w:u w:val="none"/>
        </w:rPr>
        <w:t xml:space="preserve"> – Precizējam, ka logu furnitūras apdare – </w:t>
      </w:r>
      <w:proofErr w:type="spellStart"/>
      <w:r w:rsidRPr="00776A88">
        <w:rPr>
          <w:u w:val="none"/>
        </w:rPr>
        <w:t>anodēts</w:t>
      </w:r>
      <w:proofErr w:type="spellEnd"/>
      <w:r w:rsidRPr="00776A88">
        <w:rPr>
          <w:u w:val="none"/>
        </w:rPr>
        <w:t xml:space="preserve"> alumīnijs.</w:t>
      </w:r>
    </w:p>
    <w:p w:rsidR="00776A88" w:rsidRPr="00776A88" w:rsidRDefault="00776A88" w:rsidP="00776A88">
      <w:pPr>
        <w:ind w:firstLine="720"/>
        <w:jc w:val="both"/>
        <w:rPr>
          <w:u w:val="none"/>
        </w:rPr>
      </w:pPr>
    </w:p>
    <w:p w:rsidR="00776A88" w:rsidRPr="00776A88" w:rsidRDefault="00776A88" w:rsidP="00776A88">
      <w:pPr>
        <w:ind w:firstLine="720"/>
        <w:jc w:val="both"/>
        <w:rPr>
          <w:u w:val="none"/>
        </w:rPr>
      </w:pPr>
      <w:r w:rsidRPr="00776A88">
        <w:rPr>
          <w:u w:val="none"/>
        </w:rPr>
        <w:t>7. Vai iespējams logus ar struktūras sistēmu izgatavot no fasāžu sistēmas profiliem (projekta rasējumos norādīti logu profili)?</w:t>
      </w:r>
    </w:p>
    <w:p w:rsidR="00776A88" w:rsidRPr="00776A88" w:rsidRDefault="00776A88" w:rsidP="00776A88">
      <w:pPr>
        <w:ind w:firstLine="720"/>
        <w:jc w:val="both"/>
        <w:rPr>
          <w:u w:val="none"/>
        </w:rPr>
      </w:pPr>
      <w:r w:rsidRPr="00776A88">
        <w:rPr>
          <w:b/>
          <w:u w:val="none"/>
        </w:rPr>
        <w:t>Atbilde</w:t>
      </w:r>
      <w:r w:rsidRPr="00776A88">
        <w:rPr>
          <w:u w:val="none"/>
        </w:rPr>
        <w:t xml:space="preserve"> – Logi L2-3, L4-3, L3-3, L5-3, L5-4, L5-5, L6-1 izgatavojami logu sistēmā. Precizējam, ka specifikācijā IS-7-1 minētais </w:t>
      </w:r>
      <w:proofErr w:type="spellStart"/>
      <w:r w:rsidRPr="00776A88">
        <w:rPr>
          <w:u w:val="none"/>
        </w:rPr>
        <w:t>struktūrstiklojums</w:t>
      </w:r>
      <w:proofErr w:type="spellEnd"/>
      <w:r w:rsidRPr="00776A88">
        <w:rPr>
          <w:u w:val="none"/>
        </w:rPr>
        <w:t xml:space="preserve"> definēts, lai nodrošinātu stikla paketes uzlīmēšanu uz rāmja bez stiprinājuma līstēm. Lapu IS-7-1 skatīt kopā ar ARD sadaļas lapām PM-5, PM-7, GF-5.</w:t>
      </w:r>
    </w:p>
    <w:p w:rsidR="00776A88" w:rsidRPr="00776A88" w:rsidRDefault="00776A88" w:rsidP="00776A88">
      <w:pPr>
        <w:ind w:firstLine="720"/>
        <w:jc w:val="both"/>
        <w:rPr>
          <w:u w:val="none"/>
        </w:rPr>
      </w:pPr>
    </w:p>
    <w:p w:rsidR="00776A88" w:rsidRPr="00776A88" w:rsidRDefault="00776A88" w:rsidP="00776A88">
      <w:pPr>
        <w:ind w:firstLine="720"/>
        <w:jc w:val="both"/>
        <w:rPr>
          <w:u w:val="none"/>
        </w:rPr>
      </w:pPr>
      <w:r w:rsidRPr="00776A88">
        <w:rPr>
          <w:u w:val="none"/>
        </w:rPr>
        <w:t>8. Vai ir iespējams logiem ar struktūras stiklojumu izgatavot vertikālu dalījumu (no vērtnes dalījuma uz leju).</w:t>
      </w:r>
    </w:p>
    <w:p w:rsidR="00776A88" w:rsidRPr="00776A88" w:rsidRDefault="00776A88" w:rsidP="00776A88">
      <w:pPr>
        <w:ind w:firstLine="720"/>
        <w:jc w:val="both"/>
        <w:rPr>
          <w:u w:val="none"/>
        </w:rPr>
      </w:pPr>
      <w:r w:rsidRPr="00776A88">
        <w:rPr>
          <w:b/>
          <w:u w:val="none"/>
        </w:rPr>
        <w:t>Atbilde</w:t>
      </w:r>
      <w:r w:rsidRPr="00776A88">
        <w:rPr>
          <w:u w:val="none"/>
        </w:rPr>
        <w:t xml:space="preserve"> – Logu dalījums saglabājams atbilstoši specifikācijā (lapa IS-7-1) norādītajam.</w:t>
      </w:r>
    </w:p>
    <w:p w:rsidR="00776A88" w:rsidRDefault="00776A88">
      <w:pPr>
        <w:spacing w:after="200" w:line="276" w:lineRule="auto"/>
        <w:rPr>
          <w:u w:val="none"/>
        </w:rPr>
      </w:pPr>
      <w:r>
        <w:rPr>
          <w:u w:val="none"/>
        </w:rPr>
        <w:br w:type="page"/>
      </w:r>
    </w:p>
    <w:p w:rsidR="00776A88" w:rsidRPr="00776A88" w:rsidRDefault="00776A88" w:rsidP="00776A88">
      <w:pPr>
        <w:ind w:firstLine="720"/>
        <w:jc w:val="both"/>
        <w:rPr>
          <w:u w:val="none"/>
        </w:rPr>
      </w:pPr>
    </w:p>
    <w:p w:rsidR="00776A88" w:rsidRPr="00776A88" w:rsidRDefault="00776A88" w:rsidP="00776A88">
      <w:pPr>
        <w:ind w:firstLine="720"/>
        <w:jc w:val="both"/>
        <w:rPr>
          <w:u w:val="none"/>
        </w:rPr>
      </w:pPr>
      <w:r w:rsidRPr="00776A88">
        <w:rPr>
          <w:u w:val="none"/>
        </w:rPr>
        <w:t>9. Vai iespējams iekšējo starpsienu risinājuma izmantot divkāršo stikla paketi, sasniedzot projektā nepieciešamās skaņas izolācijas prasības Rw=40 dB (projektā norādīts trīskāršais stiklojums)?</w:t>
      </w:r>
    </w:p>
    <w:p w:rsidR="00776A88" w:rsidRPr="00776A88" w:rsidRDefault="00776A88" w:rsidP="00776A88">
      <w:pPr>
        <w:ind w:firstLine="720"/>
        <w:jc w:val="both"/>
        <w:rPr>
          <w:u w:val="none"/>
        </w:rPr>
      </w:pPr>
      <w:r w:rsidRPr="00776A88">
        <w:rPr>
          <w:b/>
          <w:u w:val="none"/>
        </w:rPr>
        <w:t>Atbilde</w:t>
      </w:r>
      <w:r w:rsidRPr="00776A88">
        <w:rPr>
          <w:u w:val="none"/>
        </w:rPr>
        <w:t xml:space="preserve"> – Stiklojuma maiņa iespējama ar nosacījumu, ja tiek veikts sertificēta speciālista norobežojošās konstrukcijas skaņas izolācijas aprēķins projektā izvirzītajam prasībām (skatīt Vispārīgo daļu, Akustiskās apdares priekšlikumi).</w:t>
      </w:r>
    </w:p>
    <w:p w:rsidR="00776A88" w:rsidRPr="00776A88" w:rsidRDefault="00776A88" w:rsidP="00776A88">
      <w:pPr>
        <w:jc w:val="both"/>
        <w:rPr>
          <w:u w:val="none"/>
        </w:rPr>
      </w:pPr>
    </w:p>
    <w:p w:rsidR="00776A88" w:rsidRPr="00776A88" w:rsidRDefault="00776A88" w:rsidP="00776A88">
      <w:pPr>
        <w:ind w:firstLine="720"/>
        <w:jc w:val="both"/>
        <w:rPr>
          <w:u w:val="none"/>
        </w:rPr>
      </w:pPr>
      <w:r w:rsidRPr="00776A88">
        <w:rPr>
          <w:u w:val="none"/>
        </w:rPr>
        <w:t>10. Ugunsdrošiem ārējiem logiem projektā norādīta tikai ugunsdroša stikla pakete. Profilu sistēmas paredz arī logu rāmi un vērtni izgatavot no ugunsdroša profila, lai nodrošinātu sertificētu sistēmu. Vai šiem logiem izmantot parasto stikla paketi bez ugunsdrošības vai arī aprēķinā iekļaut pilnu ugunsdrošo logu sistēmu (ugunsdrošs profils un stikls- attiecīgi dārgāks, bet sertificēts variants)?</w:t>
      </w:r>
    </w:p>
    <w:p w:rsidR="00776A88" w:rsidRPr="00776A88" w:rsidRDefault="00776A88" w:rsidP="00776A88">
      <w:pPr>
        <w:ind w:firstLine="720"/>
        <w:jc w:val="both"/>
        <w:rPr>
          <w:u w:val="none"/>
        </w:rPr>
      </w:pPr>
      <w:r w:rsidRPr="00776A88">
        <w:rPr>
          <w:b/>
          <w:u w:val="none"/>
        </w:rPr>
        <w:t>Atbilde</w:t>
      </w:r>
      <w:r w:rsidRPr="00776A88">
        <w:rPr>
          <w:u w:val="none"/>
        </w:rPr>
        <w:t xml:space="preserve"> – Izmaksu piedāvājumā jāiekļauj pilna ugunsdroša loga sistēma atbilstoši EI30 prasībām.</w:t>
      </w:r>
    </w:p>
    <w:p w:rsidR="00776A88" w:rsidRPr="00776A88" w:rsidRDefault="00776A88" w:rsidP="00776A88">
      <w:pPr>
        <w:ind w:firstLine="720"/>
        <w:jc w:val="both"/>
        <w:rPr>
          <w:u w:val="none"/>
        </w:rPr>
      </w:pPr>
    </w:p>
    <w:p w:rsidR="00776A88" w:rsidRPr="00776A88" w:rsidRDefault="00776A88" w:rsidP="00776A88">
      <w:pPr>
        <w:ind w:firstLine="720"/>
        <w:jc w:val="both"/>
        <w:rPr>
          <w:u w:val="none"/>
        </w:rPr>
      </w:pPr>
      <w:r w:rsidRPr="00776A88">
        <w:rPr>
          <w:u w:val="none"/>
        </w:rPr>
        <w:t>11. Vai iespējams ugunsdrošo logu vērtnes nomainīt uz durvju vērtnēm, tādējādi nodrošinot šo logu atvēršanos (logi nevar būt atverami/atgāžami)?</w:t>
      </w:r>
    </w:p>
    <w:p w:rsidR="00776A88" w:rsidRPr="00776A88" w:rsidRDefault="00776A88" w:rsidP="00776A88">
      <w:pPr>
        <w:ind w:left="720"/>
        <w:jc w:val="both"/>
        <w:rPr>
          <w:u w:val="none"/>
        </w:rPr>
      </w:pPr>
      <w:r w:rsidRPr="00776A88">
        <w:rPr>
          <w:b/>
          <w:u w:val="none"/>
        </w:rPr>
        <w:t>Atbilde</w:t>
      </w:r>
      <w:r w:rsidRPr="00776A88">
        <w:rPr>
          <w:u w:val="none"/>
        </w:rPr>
        <w:t xml:space="preserve"> – Iespējams.</w:t>
      </w:r>
    </w:p>
    <w:p w:rsidR="00776A88" w:rsidRPr="00776A88" w:rsidRDefault="00776A88" w:rsidP="00776A88">
      <w:pPr>
        <w:ind w:firstLine="720"/>
        <w:jc w:val="both"/>
        <w:rPr>
          <w:u w:val="none"/>
        </w:rPr>
      </w:pPr>
    </w:p>
    <w:p w:rsidR="00776A88" w:rsidRPr="00776A88" w:rsidRDefault="00776A88" w:rsidP="00776A88">
      <w:pPr>
        <w:ind w:firstLine="720"/>
        <w:jc w:val="both"/>
        <w:rPr>
          <w:u w:val="none"/>
        </w:rPr>
      </w:pPr>
      <w:r w:rsidRPr="00776A88">
        <w:rPr>
          <w:u w:val="none"/>
        </w:rPr>
        <w:t xml:space="preserve">12. Vai iespējams iekšējo starpsienu atveramos logus uzgatavot no </w:t>
      </w:r>
      <w:proofErr w:type="spellStart"/>
      <w:r w:rsidRPr="00776A88">
        <w:rPr>
          <w:u w:val="none"/>
        </w:rPr>
        <w:t>Schuco</w:t>
      </w:r>
      <w:proofErr w:type="spellEnd"/>
      <w:r w:rsidRPr="00776A88">
        <w:rPr>
          <w:u w:val="none"/>
        </w:rPr>
        <w:t xml:space="preserve"> sistēmas AWS102 profilu sistēmas.</w:t>
      </w:r>
    </w:p>
    <w:p w:rsidR="00776A88" w:rsidRPr="00776A88" w:rsidRDefault="00776A88" w:rsidP="00776A88">
      <w:pPr>
        <w:ind w:left="720"/>
        <w:jc w:val="both"/>
        <w:rPr>
          <w:u w:val="none"/>
        </w:rPr>
      </w:pPr>
      <w:r w:rsidRPr="00776A88">
        <w:rPr>
          <w:b/>
          <w:u w:val="none"/>
        </w:rPr>
        <w:t>Atbilde</w:t>
      </w:r>
      <w:r w:rsidRPr="00776A88">
        <w:rPr>
          <w:u w:val="none"/>
        </w:rPr>
        <w:t xml:space="preserve"> – Iespējams.</w:t>
      </w:r>
    </w:p>
    <w:p w:rsidR="00776A88" w:rsidRPr="00776A88" w:rsidRDefault="00776A88" w:rsidP="00776A88">
      <w:pPr>
        <w:ind w:firstLine="720"/>
        <w:jc w:val="both"/>
        <w:rPr>
          <w:u w:val="none"/>
        </w:rPr>
      </w:pPr>
    </w:p>
    <w:p w:rsidR="00776A88" w:rsidRPr="00776A88" w:rsidRDefault="00776A88" w:rsidP="00776A88">
      <w:pPr>
        <w:ind w:firstLine="720"/>
        <w:jc w:val="both"/>
        <w:rPr>
          <w:u w:val="none"/>
        </w:rPr>
      </w:pPr>
      <w:r w:rsidRPr="00776A88">
        <w:rPr>
          <w:u w:val="none"/>
        </w:rPr>
        <w:t>13. Vai iekšējo starpsienu logu automātikai jābūt ar vēdināšanas funkciju vai arī jāiekļauj ugunsgrēka avārijas funkcija? Vai logu atvēršana vēdināšanai centrālei jābūt katram stāvam atsevišķi.</w:t>
      </w:r>
    </w:p>
    <w:p w:rsidR="00776A88" w:rsidRPr="00776A88" w:rsidRDefault="00776A88" w:rsidP="00776A88">
      <w:pPr>
        <w:ind w:firstLine="720"/>
        <w:jc w:val="both"/>
        <w:rPr>
          <w:u w:val="none"/>
        </w:rPr>
      </w:pPr>
      <w:r w:rsidRPr="00776A88">
        <w:rPr>
          <w:b/>
          <w:u w:val="none"/>
        </w:rPr>
        <w:t>Atbilde</w:t>
      </w:r>
      <w:r w:rsidRPr="00776A88">
        <w:rPr>
          <w:u w:val="none"/>
        </w:rPr>
        <w:t xml:space="preserve"> – Stikloto starpsienu ISV1-4, ISV3-3 logi paredzēti tikai dūmu novadīšanai ugunsgrēka trauksmes gadījumā. Tos ir paredzēts aprīkot ar atvēršanas mehānismiem, kurus vada ēkas dūmu nosūces automātikas sistēma (skatīt 12.sējumu 12.1.2 sadaļu).</w:t>
      </w:r>
    </w:p>
    <w:p w:rsidR="00776A88" w:rsidRPr="00776A88" w:rsidRDefault="00776A88" w:rsidP="00776A88">
      <w:pPr>
        <w:ind w:left="720"/>
        <w:jc w:val="both"/>
        <w:rPr>
          <w:u w:val="none"/>
        </w:rPr>
      </w:pPr>
    </w:p>
    <w:p w:rsidR="00776A88" w:rsidRPr="00776A88" w:rsidRDefault="00776A88" w:rsidP="00776A88">
      <w:pPr>
        <w:ind w:firstLine="720"/>
        <w:jc w:val="both"/>
        <w:rPr>
          <w:u w:val="none"/>
        </w:rPr>
      </w:pPr>
      <w:r w:rsidRPr="00776A88">
        <w:rPr>
          <w:u w:val="none"/>
        </w:rPr>
        <w:t>14.Kā tiek apliecināta restaurēto logu un durvju EI30 klase. Vai pietiek ar segto darbu aktiem un restaurācijā izmantoto materiālu sertifikātiem un deklarācijām, vai arī ir kādas citas prasības?</w:t>
      </w:r>
    </w:p>
    <w:p w:rsidR="00776A88" w:rsidRPr="00776A88" w:rsidRDefault="00776A88" w:rsidP="00776A88">
      <w:pPr>
        <w:ind w:firstLine="720"/>
        <w:jc w:val="both"/>
        <w:rPr>
          <w:u w:val="none"/>
        </w:rPr>
      </w:pPr>
      <w:r w:rsidRPr="00776A88">
        <w:rPr>
          <w:b/>
          <w:u w:val="none"/>
        </w:rPr>
        <w:t>Atbilde</w:t>
      </w:r>
      <w:r w:rsidRPr="00776A88">
        <w:rPr>
          <w:u w:val="none"/>
        </w:rPr>
        <w:t xml:space="preserve"> – Restaurēto logu un durvju EI 30 klase tiek apliecināta ar segto darbu aktiem un restaurācijā izmantoto materiālu ekspluatācijas īpašību deklarācijām</w:t>
      </w:r>
    </w:p>
    <w:p w:rsidR="00776A88" w:rsidRPr="00776A88" w:rsidRDefault="00776A88" w:rsidP="00776A88">
      <w:pPr>
        <w:ind w:firstLine="720"/>
        <w:jc w:val="both"/>
        <w:rPr>
          <w:u w:val="none"/>
        </w:rPr>
      </w:pPr>
    </w:p>
    <w:p w:rsidR="00776A88" w:rsidRDefault="00776A88">
      <w:pPr>
        <w:spacing w:after="200" w:line="276" w:lineRule="auto"/>
      </w:pPr>
      <w:r>
        <w:br w:type="page"/>
      </w:r>
    </w:p>
    <w:p w:rsidR="00776A88" w:rsidRPr="004659D4" w:rsidRDefault="00776A88" w:rsidP="00776A88">
      <w:pPr>
        <w:ind w:firstLine="720"/>
        <w:jc w:val="both"/>
      </w:pPr>
    </w:p>
    <w:p w:rsidR="00776A88" w:rsidRPr="00776A88" w:rsidRDefault="00776A88" w:rsidP="00776A88">
      <w:pPr>
        <w:ind w:firstLine="720"/>
        <w:jc w:val="both"/>
        <w:rPr>
          <w:b/>
          <w:u w:val="none"/>
        </w:rPr>
      </w:pPr>
      <w:r>
        <w:rPr>
          <w:b/>
          <w:u w:val="none"/>
        </w:rPr>
        <w:t>30</w:t>
      </w:r>
      <w:r w:rsidRPr="00776A88">
        <w:rPr>
          <w:b/>
          <w:u w:val="none"/>
        </w:rPr>
        <w:t>.01.2014.</w:t>
      </w:r>
    </w:p>
    <w:p w:rsidR="00776A88" w:rsidRDefault="00776A88" w:rsidP="00776A88">
      <w:pPr>
        <w:jc w:val="both"/>
        <w:rPr>
          <w:u w:val="none"/>
        </w:rPr>
      </w:pPr>
    </w:p>
    <w:p w:rsidR="00776A88" w:rsidRPr="00776A88" w:rsidRDefault="00776A88" w:rsidP="00776A88">
      <w:pPr>
        <w:pStyle w:val="ListParagraph"/>
        <w:ind w:left="0" w:firstLine="720"/>
        <w:jc w:val="both"/>
        <w:rPr>
          <w:u w:val="none"/>
        </w:rPr>
      </w:pPr>
      <w:r w:rsidRPr="00776A88">
        <w:rPr>
          <w:u w:val="none"/>
        </w:rPr>
        <w:t>Iepirkuma komisija ir sagatavojusi atbildes uz ieinteresētā piegādātāja uzdotajiem jautājumiem. Turpmāk tekstā iesniegtie jautājumi un sniegtās atbildes:</w:t>
      </w:r>
    </w:p>
    <w:p w:rsidR="007378D6" w:rsidRDefault="007378D6"/>
    <w:p w:rsidR="00776A88" w:rsidRDefault="00776A88" w:rsidP="00776A88">
      <w:pPr>
        <w:ind w:firstLine="720"/>
        <w:jc w:val="both"/>
        <w:rPr>
          <w:u w:val="none"/>
        </w:rPr>
      </w:pPr>
    </w:p>
    <w:p w:rsidR="00776A88" w:rsidRDefault="00776A88" w:rsidP="00776A88">
      <w:pPr>
        <w:numPr>
          <w:ilvl w:val="0"/>
          <w:numId w:val="1"/>
        </w:numPr>
        <w:jc w:val="both"/>
        <w:rPr>
          <w:u w:val="none"/>
        </w:rPr>
      </w:pPr>
      <w:r w:rsidRPr="00510F0C">
        <w:rPr>
          <w:u w:val="none"/>
        </w:rPr>
        <w:t>Lokāla</w:t>
      </w:r>
      <w:r>
        <w:rPr>
          <w:u w:val="none"/>
        </w:rPr>
        <w:t xml:space="preserve">jā tāmē Nr.1-4, pozīcijā Nr.5 sienas tipam S3 dots </w:t>
      </w:r>
      <w:r w:rsidRPr="00510F0C">
        <w:rPr>
          <w:u w:val="none"/>
        </w:rPr>
        <w:t>ģipškartona plākšņu apšuvums</w:t>
      </w:r>
      <w:r>
        <w:rPr>
          <w:u w:val="none"/>
        </w:rPr>
        <w:t xml:space="preserve"> 2 kārtās 489,63 m2, bet p</w:t>
      </w:r>
      <w:r w:rsidRPr="00510F0C">
        <w:rPr>
          <w:u w:val="none"/>
        </w:rPr>
        <w:t>rojektā uzrādīts ģipš</w:t>
      </w:r>
      <w:r>
        <w:rPr>
          <w:u w:val="none"/>
        </w:rPr>
        <w:t xml:space="preserve">kartona apšuvums 1 kārtā (lapa IS-3 1). Nepieciešams pārbaudīt un precizēt! </w:t>
      </w:r>
    </w:p>
    <w:p w:rsidR="00776A88" w:rsidRDefault="00776A88" w:rsidP="00776A88">
      <w:pPr>
        <w:ind w:left="1080"/>
        <w:jc w:val="both"/>
        <w:rPr>
          <w:u w:val="none"/>
        </w:rPr>
      </w:pPr>
      <w:r w:rsidRPr="00F36B2C">
        <w:rPr>
          <w:b/>
          <w:u w:val="none"/>
        </w:rPr>
        <w:t>Atbilde</w:t>
      </w:r>
      <w:r>
        <w:rPr>
          <w:u w:val="none"/>
        </w:rPr>
        <w:t xml:space="preserve"> – </w:t>
      </w:r>
      <w:r w:rsidRPr="00F36B2C">
        <w:rPr>
          <w:u w:val="none"/>
        </w:rPr>
        <w:t>Koriģēts apjomu saraksts, tāme 1-4, p.5.</w:t>
      </w:r>
    </w:p>
    <w:p w:rsidR="00776A88" w:rsidRPr="00F36B2C" w:rsidRDefault="00776A88" w:rsidP="00776A88">
      <w:pPr>
        <w:ind w:left="1080"/>
        <w:jc w:val="both"/>
        <w:rPr>
          <w:u w:val="none"/>
        </w:rPr>
      </w:pPr>
    </w:p>
    <w:p w:rsidR="00776A88" w:rsidRDefault="00776A88" w:rsidP="00776A88">
      <w:pPr>
        <w:numPr>
          <w:ilvl w:val="0"/>
          <w:numId w:val="1"/>
        </w:numPr>
        <w:jc w:val="both"/>
        <w:rPr>
          <w:u w:val="none"/>
        </w:rPr>
      </w:pPr>
      <w:r w:rsidRPr="00510F0C">
        <w:rPr>
          <w:u w:val="none"/>
        </w:rPr>
        <w:t>Lokāla</w:t>
      </w:r>
      <w:r>
        <w:rPr>
          <w:u w:val="none"/>
        </w:rPr>
        <w:t xml:space="preserve">jā tāmē Nr.1-4, pozīcijā Nr.5 sienas tipam S3 </w:t>
      </w:r>
      <w:r w:rsidRPr="00964EEF">
        <w:rPr>
          <w:u w:val="none"/>
        </w:rPr>
        <w:t>dots starpsienu</w:t>
      </w:r>
      <w:r>
        <w:rPr>
          <w:u w:val="none"/>
        </w:rPr>
        <w:t xml:space="preserve"> profils CW-p</w:t>
      </w:r>
      <w:r w:rsidRPr="003C7D60">
        <w:rPr>
          <w:u w:val="none"/>
        </w:rPr>
        <w:t>rofils 75x50x0.6</w:t>
      </w:r>
      <w:r>
        <w:rPr>
          <w:u w:val="none"/>
        </w:rPr>
        <w:t xml:space="preserve"> 480,48 m, kas ir daudzums parastajam vertikālajiem karkasam ar soli 600 mm, bet p</w:t>
      </w:r>
      <w:r w:rsidRPr="00510F0C">
        <w:rPr>
          <w:u w:val="none"/>
        </w:rPr>
        <w:t xml:space="preserve">rojektā uzrādīts </w:t>
      </w:r>
      <w:r>
        <w:rPr>
          <w:u w:val="none"/>
        </w:rPr>
        <w:t>dubultais vertikālais karkass (lapa IS-3-1), tātad vertikālajiem sienu profiliem būtu jābūt divreiz vairāk. Nepieciešams pārbaudīt un precizēt!</w:t>
      </w:r>
    </w:p>
    <w:p w:rsidR="00776A88" w:rsidRDefault="00776A88" w:rsidP="00776A88">
      <w:pPr>
        <w:ind w:left="1080"/>
        <w:jc w:val="both"/>
        <w:rPr>
          <w:u w:val="none"/>
        </w:rPr>
      </w:pPr>
      <w:r w:rsidRPr="00F36B2C">
        <w:rPr>
          <w:b/>
          <w:u w:val="none"/>
        </w:rPr>
        <w:t>Atbilde</w:t>
      </w:r>
      <w:r>
        <w:rPr>
          <w:u w:val="none"/>
        </w:rPr>
        <w:t xml:space="preserve"> – </w:t>
      </w:r>
      <w:r w:rsidRPr="00F36B2C">
        <w:rPr>
          <w:u w:val="none"/>
        </w:rPr>
        <w:t>Koriģēts apjomu saraksts, tāme 1-4, p.5.</w:t>
      </w:r>
    </w:p>
    <w:p w:rsidR="00776A88" w:rsidRPr="00F36B2C" w:rsidRDefault="00776A88" w:rsidP="00776A88">
      <w:pPr>
        <w:ind w:left="1080"/>
        <w:jc w:val="both"/>
        <w:rPr>
          <w:u w:val="none"/>
        </w:rPr>
      </w:pPr>
    </w:p>
    <w:p w:rsidR="00776A88" w:rsidRDefault="00776A88" w:rsidP="00776A88">
      <w:pPr>
        <w:numPr>
          <w:ilvl w:val="0"/>
          <w:numId w:val="1"/>
        </w:numPr>
        <w:jc w:val="both"/>
        <w:rPr>
          <w:u w:val="none"/>
        </w:rPr>
      </w:pPr>
      <w:r w:rsidRPr="00510F0C">
        <w:rPr>
          <w:u w:val="none"/>
        </w:rPr>
        <w:t>Lokāla</w:t>
      </w:r>
      <w:r>
        <w:rPr>
          <w:u w:val="none"/>
        </w:rPr>
        <w:t xml:space="preserve">jā tāmē Nr.1-4, pozīcijā Nr.6 sienas tipam S3* </w:t>
      </w:r>
      <w:r w:rsidRPr="00964EEF">
        <w:rPr>
          <w:u w:val="none"/>
        </w:rPr>
        <w:t>dots s</w:t>
      </w:r>
      <w:r>
        <w:rPr>
          <w:u w:val="none"/>
        </w:rPr>
        <w:t>tarpsienu profils CW-p</w:t>
      </w:r>
      <w:r w:rsidRPr="003C7D60">
        <w:rPr>
          <w:u w:val="none"/>
        </w:rPr>
        <w:t>rofils 75x50x0.6</w:t>
      </w:r>
      <w:r>
        <w:rPr>
          <w:u w:val="none"/>
        </w:rPr>
        <w:t xml:space="preserve"> 342,3 m, kas ir daudzums parastajam vertikālajiem karkasam ar soli 600 mm, bet p</w:t>
      </w:r>
      <w:r w:rsidRPr="00510F0C">
        <w:rPr>
          <w:u w:val="none"/>
        </w:rPr>
        <w:t xml:space="preserve">rojektā uzrādīts </w:t>
      </w:r>
      <w:r>
        <w:rPr>
          <w:u w:val="none"/>
        </w:rPr>
        <w:t>dubultais vertikālais karkass (lapa IS-3-1), tātad vertikālajiem sienu profiliem būtu jābūt divreiz vairāk. Nepieciešams pārbaudīt un precizēt!</w:t>
      </w:r>
    </w:p>
    <w:p w:rsidR="00776A88" w:rsidRDefault="00776A88" w:rsidP="00776A88">
      <w:pPr>
        <w:ind w:left="1080"/>
        <w:jc w:val="both"/>
        <w:rPr>
          <w:u w:val="none"/>
        </w:rPr>
      </w:pPr>
      <w:r w:rsidRPr="00F36B2C">
        <w:rPr>
          <w:b/>
          <w:u w:val="none"/>
        </w:rPr>
        <w:t>Atbilde</w:t>
      </w:r>
      <w:r>
        <w:rPr>
          <w:u w:val="none"/>
        </w:rPr>
        <w:t xml:space="preserve"> – </w:t>
      </w:r>
      <w:r w:rsidRPr="00F36B2C">
        <w:rPr>
          <w:u w:val="none"/>
        </w:rPr>
        <w:t>Koriģēts apjomu saraksts, tāme 1-4, p.6.</w:t>
      </w:r>
    </w:p>
    <w:p w:rsidR="00776A88" w:rsidRPr="00F36B2C" w:rsidRDefault="00776A88" w:rsidP="00776A88">
      <w:pPr>
        <w:ind w:left="1080"/>
        <w:jc w:val="both"/>
        <w:rPr>
          <w:u w:val="none"/>
        </w:rPr>
      </w:pPr>
    </w:p>
    <w:p w:rsidR="00776A88" w:rsidRDefault="00776A88" w:rsidP="00776A88">
      <w:pPr>
        <w:numPr>
          <w:ilvl w:val="0"/>
          <w:numId w:val="1"/>
        </w:numPr>
        <w:jc w:val="both"/>
        <w:rPr>
          <w:u w:val="none"/>
        </w:rPr>
      </w:pPr>
      <w:r w:rsidRPr="00510F0C">
        <w:rPr>
          <w:u w:val="none"/>
        </w:rPr>
        <w:t>Lokāla</w:t>
      </w:r>
      <w:r>
        <w:rPr>
          <w:u w:val="none"/>
        </w:rPr>
        <w:t>jā tāmē Nr.1-4, pozīcijā Nr.19.2 sienas tipam ĀS1 doti divreiz par daudz. Nepieciešams pārbaudīt un precizēt!</w:t>
      </w:r>
    </w:p>
    <w:p w:rsidR="00776A88" w:rsidRDefault="00776A88" w:rsidP="00776A88">
      <w:pPr>
        <w:ind w:left="1080"/>
        <w:jc w:val="both"/>
        <w:rPr>
          <w:u w:val="none"/>
        </w:rPr>
      </w:pPr>
      <w:r w:rsidRPr="00F36B2C">
        <w:rPr>
          <w:b/>
          <w:u w:val="none"/>
        </w:rPr>
        <w:t>Atbilde</w:t>
      </w:r>
      <w:r>
        <w:rPr>
          <w:u w:val="none"/>
        </w:rPr>
        <w:t xml:space="preserve"> – </w:t>
      </w:r>
      <w:r w:rsidRPr="00F36B2C">
        <w:rPr>
          <w:u w:val="none"/>
        </w:rPr>
        <w:t>Dotais apjoms korekts. Vēršam uzmanību, ka sienas tips ĀS1 paredz</w:t>
      </w:r>
      <w:r>
        <w:rPr>
          <w:u w:val="none"/>
        </w:rPr>
        <w:t>ē</w:t>
      </w:r>
      <w:r w:rsidRPr="00F36B2C">
        <w:rPr>
          <w:u w:val="none"/>
        </w:rPr>
        <w:t xml:space="preserve">ts stāvam uz </w:t>
      </w:r>
      <w:proofErr w:type="spellStart"/>
      <w:r w:rsidRPr="00F36B2C">
        <w:rPr>
          <w:u w:val="none"/>
        </w:rPr>
        <w:t>atz.-2.90</w:t>
      </w:r>
      <w:proofErr w:type="spellEnd"/>
      <w:r w:rsidRPr="00F36B2C">
        <w:rPr>
          <w:u w:val="none"/>
        </w:rPr>
        <w:t xml:space="preserve"> un 11.81</w:t>
      </w:r>
      <w:r>
        <w:rPr>
          <w:u w:val="none"/>
        </w:rPr>
        <w:t>.</w:t>
      </w:r>
    </w:p>
    <w:p w:rsidR="00776A88" w:rsidRPr="00F36B2C" w:rsidRDefault="00776A88" w:rsidP="00776A88">
      <w:pPr>
        <w:ind w:left="1080"/>
        <w:jc w:val="both"/>
        <w:rPr>
          <w:u w:val="none"/>
        </w:rPr>
      </w:pPr>
    </w:p>
    <w:p w:rsidR="00776A88" w:rsidRDefault="00776A88" w:rsidP="00776A88">
      <w:pPr>
        <w:numPr>
          <w:ilvl w:val="0"/>
          <w:numId w:val="1"/>
        </w:numPr>
        <w:jc w:val="both"/>
        <w:rPr>
          <w:u w:val="none"/>
        </w:rPr>
      </w:pPr>
      <w:r w:rsidRPr="00CE1288">
        <w:rPr>
          <w:u w:val="none"/>
        </w:rPr>
        <w:t>Iekšējās starpsienas ISV 1-4 un ISV 3-3 ir norādītas rasējumos, bet nav norādītas tāmēs formā. Vai tās jāiekļauj aprēķinā?</w:t>
      </w:r>
    </w:p>
    <w:p w:rsidR="00776A88" w:rsidRDefault="00776A88" w:rsidP="00776A88">
      <w:pPr>
        <w:ind w:left="1134" w:hanging="54"/>
        <w:jc w:val="both"/>
        <w:rPr>
          <w:u w:val="none"/>
        </w:rPr>
      </w:pPr>
      <w:r w:rsidRPr="00F36B2C">
        <w:rPr>
          <w:b/>
          <w:u w:val="none"/>
        </w:rPr>
        <w:t>Atbilde</w:t>
      </w:r>
      <w:r>
        <w:rPr>
          <w:u w:val="none"/>
        </w:rPr>
        <w:t xml:space="preserve"> – </w:t>
      </w:r>
      <w:r w:rsidRPr="00F36B2C">
        <w:rPr>
          <w:u w:val="none"/>
        </w:rPr>
        <w:t xml:space="preserve">Apjomu sarakstos koriģēts starpsienu marķējums atbilstoši specifikācijai, tāme 1-9, p.2.3. </w:t>
      </w:r>
    </w:p>
    <w:p w:rsidR="00776A88" w:rsidRPr="00F36B2C" w:rsidRDefault="00776A88" w:rsidP="00776A88">
      <w:pPr>
        <w:ind w:left="1134" w:hanging="54"/>
        <w:jc w:val="both"/>
        <w:rPr>
          <w:u w:val="none"/>
        </w:rPr>
      </w:pPr>
    </w:p>
    <w:p w:rsidR="00776A88" w:rsidRPr="00F36B2C" w:rsidRDefault="00776A88" w:rsidP="00776A88">
      <w:pPr>
        <w:pStyle w:val="ListParagraph"/>
        <w:numPr>
          <w:ilvl w:val="0"/>
          <w:numId w:val="1"/>
        </w:numPr>
        <w:jc w:val="both"/>
        <w:rPr>
          <w:u w:val="none"/>
        </w:rPr>
      </w:pPr>
      <w:r w:rsidRPr="00F36B2C">
        <w:rPr>
          <w:u w:val="none"/>
        </w:rPr>
        <w:t>Iekšējās starpsienas ISV2-1 un ISV 4-1 ir norādītas tāmes formā, bet nav atrodamas rasējumos, lūdzu atsūtīt specifikāciju.</w:t>
      </w:r>
    </w:p>
    <w:p w:rsidR="00776A88" w:rsidRDefault="00776A88" w:rsidP="00776A88">
      <w:pPr>
        <w:pStyle w:val="ListParagraph"/>
        <w:ind w:left="1080"/>
        <w:jc w:val="both"/>
        <w:rPr>
          <w:u w:val="none"/>
        </w:rPr>
      </w:pPr>
      <w:r w:rsidRPr="00F36B2C">
        <w:rPr>
          <w:b/>
          <w:u w:val="none"/>
        </w:rPr>
        <w:t>Atbilde</w:t>
      </w:r>
      <w:r>
        <w:rPr>
          <w:u w:val="none"/>
        </w:rPr>
        <w:t xml:space="preserve"> – </w:t>
      </w:r>
      <w:r w:rsidRPr="0077616A">
        <w:rPr>
          <w:u w:val="none"/>
        </w:rPr>
        <w:t>Apjomu sarakstos koriģēts starpsienu marķējums atbilstoši specifikācijai, tāme 1-9, p.4.3, 5.1.</w:t>
      </w:r>
    </w:p>
    <w:p w:rsidR="00776A88" w:rsidRPr="0077616A" w:rsidRDefault="00776A88" w:rsidP="00776A88">
      <w:pPr>
        <w:pStyle w:val="ListParagraph"/>
        <w:ind w:left="1080"/>
        <w:jc w:val="both"/>
        <w:rPr>
          <w:u w:val="none"/>
        </w:rPr>
      </w:pPr>
    </w:p>
    <w:p w:rsidR="00776A88" w:rsidRDefault="00776A88" w:rsidP="00776A88">
      <w:pPr>
        <w:numPr>
          <w:ilvl w:val="0"/>
          <w:numId w:val="1"/>
        </w:numPr>
        <w:jc w:val="both"/>
        <w:rPr>
          <w:u w:val="none"/>
        </w:rPr>
      </w:pPr>
      <w:r w:rsidRPr="00CE1288">
        <w:rPr>
          <w:u w:val="none"/>
        </w:rPr>
        <w:t xml:space="preserve">Logu furnitūras aprakstā norādītas nerūsējošā tērauda eņģes un rokturis atbilstoši tāds pats, zemāk norādīts, ka rokturim  jābūt </w:t>
      </w:r>
      <w:proofErr w:type="spellStart"/>
      <w:r w:rsidRPr="00CE1288">
        <w:rPr>
          <w:u w:val="none"/>
        </w:rPr>
        <w:t>anodētam</w:t>
      </w:r>
      <w:proofErr w:type="spellEnd"/>
      <w:r w:rsidRPr="00CE1288">
        <w:rPr>
          <w:u w:val="none"/>
        </w:rPr>
        <w:t>. Lūdzu precizēt roktura un eņģu apdari/materiālu.</w:t>
      </w:r>
    </w:p>
    <w:p w:rsidR="00776A88" w:rsidRDefault="00776A88" w:rsidP="00776A88">
      <w:pPr>
        <w:pStyle w:val="ListParagraph"/>
        <w:ind w:left="1080"/>
        <w:jc w:val="both"/>
        <w:rPr>
          <w:u w:val="none"/>
        </w:rPr>
      </w:pPr>
      <w:r w:rsidRPr="0077616A">
        <w:rPr>
          <w:b/>
          <w:u w:val="none"/>
        </w:rPr>
        <w:t>Atbilde</w:t>
      </w:r>
      <w:r w:rsidRPr="0077616A">
        <w:rPr>
          <w:u w:val="none"/>
        </w:rPr>
        <w:t xml:space="preserve"> – Precizējam, ka logu furnitūras apdare – </w:t>
      </w:r>
      <w:proofErr w:type="spellStart"/>
      <w:r w:rsidRPr="0077616A">
        <w:rPr>
          <w:u w:val="none"/>
        </w:rPr>
        <w:t>anodēts</w:t>
      </w:r>
      <w:proofErr w:type="spellEnd"/>
      <w:r w:rsidRPr="0077616A">
        <w:rPr>
          <w:u w:val="none"/>
        </w:rPr>
        <w:t xml:space="preserve"> alumīnijs.</w:t>
      </w:r>
    </w:p>
    <w:p w:rsidR="00776A88" w:rsidRDefault="00776A88">
      <w:pPr>
        <w:spacing w:after="200" w:line="276" w:lineRule="auto"/>
        <w:rPr>
          <w:u w:val="none"/>
        </w:rPr>
      </w:pPr>
      <w:r>
        <w:rPr>
          <w:u w:val="none"/>
        </w:rPr>
        <w:br w:type="page"/>
      </w:r>
    </w:p>
    <w:p w:rsidR="00776A88" w:rsidRPr="0077616A" w:rsidRDefault="00776A88" w:rsidP="00776A88">
      <w:pPr>
        <w:pStyle w:val="ListParagraph"/>
        <w:ind w:left="1080"/>
        <w:jc w:val="both"/>
        <w:rPr>
          <w:u w:val="none"/>
        </w:rPr>
      </w:pPr>
    </w:p>
    <w:p w:rsidR="00776A88" w:rsidRDefault="00776A88" w:rsidP="00776A88">
      <w:pPr>
        <w:numPr>
          <w:ilvl w:val="0"/>
          <w:numId w:val="1"/>
        </w:numPr>
        <w:jc w:val="both"/>
        <w:rPr>
          <w:u w:val="none"/>
        </w:rPr>
      </w:pPr>
      <w:r w:rsidRPr="00CE1288">
        <w:rPr>
          <w:u w:val="none"/>
        </w:rPr>
        <w:t>Vai iespējams logus ar struktūras sistēmu izgatavot no fasāžu sistēmas profiliem (projekta rasējumos norādīti logu profili)?</w:t>
      </w:r>
    </w:p>
    <w:p w:rsidR="00776A88" w:rsidRPr="0077616A" w:rsidRDefault="00776A88" w:rsidP="00776A88">
      <w:pPr>
        <w:pStyle w:val="ListParagraph"/>
        <w:ind w:left="1080"/>
        <w:jc w:val="both"/>
        <w:rPr>
          <w:u w:val="none"/>
        </w:rPr>
      </w:pPr>
      <w:r w:rsidRPr="0077616A">
        <w:rPr>
          <w:b/>
          <w:u w:val="none"/>
        </w:rPr>
        <w:t>Atbilde</w:t>
      </w:r>
      <w:r w:rsidRPr="0077616A">
        <w:rPr>
          <w:u w:val="none"/>
        </w:rPr>
        <w:t xml:space="preserve"> – Logi L2-3, L4-3, L3-3, L5-3, L5-4, L5-5, L6-1 izgatavojami logu sistēmā. Precizējam, ka specifikācijā IS-7-1 minētais </w:t>
      </w:r>
      <w:proofErr w:type="spellStart"/>
      <w:r w:rsidRPr="0077616A">
        <w:rPr>
          <w:u w:val="none"/>
        </w:rPr>
        <w:t>struktūrstiklojums</w:t>
      </w:r>
      <w:proofErr w:type="spellEnd"/>
      <w:r w:rsidRPr="0077616A">
        <w:rPr>
          <w:u w:val="none"/>
        </w:rPr>
        <w:t xml:space="preserve"> definēts, lai nodrošinātu stikla paketes uzlīmēšanu uz rāmja bez stiprinājuma līstēm. Lapu IS-7-1 skatīt kopā ar ARD sadaļas lapām PM-5, PM-7, GF-5.</w:t>
      </w:r>
    </w:p>
    <w:p w:rsidR="00776A88" w:rsidRPr="00EA0B85" w:rsidRDefault="00776A88" w:rsidP="00776A88">
      <w:pPr>
        <w:ind w:left="1080"/>
        <w:jc w:val="both"/>
        <w:rPr>
          <w:b/>
          <w:u w:val="none"/>
        </w:rPr>
      </w:pPr>
    </w:p>
    <w:p w:rsidR="00776A88" w:rsidRDefault="00776A88" w:rsidP="00776A88">
      <w:pPr>
        <w:numPr>
          <w:ilvl w:val="0"/>
          <w:numId w:val="1"/>
        </w:numPr>
        <w:jc w:val="both"/>
        <w:rPr>
          <w:u w:val="none"/>
        </w:rPr>
      </w:pPr>
      <w:r w:rsidRPr="00CE1288">
        <w:rPr>
          <w:u w:val="none"/>
        </w:rPr>
        <w:t>Vai ir iespējams logiem ar struktūras stiklojumu izgatavot vertikālu dalījumu (no vērtnes dalījuma uz leju).</w:t>
      </w:r>
    </w:p>
    <w:p w:rsidR="00776A88" w:rsidRPr="0077616A" w:rsidRDefault="00776A88" w:rsidP="00776A88">
      <w:pPr>
        <w:pStyle w:val="ListParagraph"/>
        <w:ind w:left="1080"/>
        <w:jc w:val="both"/>
        <w:rPr>
          <w:u w:val="none"/>
        </w:rPr>
      </w:pPr>
      <w:r w:rsidRPr="0077616A">
        <w:rPr>
          <w:b/>
          <w:u w:val="none"/>
        </w:rPr>
        <w:t>Atbilde</w:t>
      </w:r>
      <w:r w:rsidRPr="0077616A">
        <w:rPr>
          <w:u w:val="none"/>
        </w:rPr>
        <w:t xml:space="preserve"> – Logu dalījums saglabājams atbilstoši specifikācijā (lapa IS-7-1) norādītajam.</w:t>
      </w:r>
    </w:p>
    <w:p w:rsidR="00776A88" w:rsidRPr="00EA0B85" w:rsidRDefault="00776A88" w:rsidP="00776A88">
      <w:pPr>
        <w:ind w:left="1080"/>
        <w:jc w:val="both"/>
        <w:rPr>
          <w:b/>
          <w:u w:val="none"/>
        </w:rPr>
      </w:pPr>
    </w:p>
    <w:p w:rsidR="00776A88" w:rsidRDefault="00776A88" w:rsidP="00776A88">
      <w:pPr>
        <w:numPr>
          <w:ilvl w:val="0"/>
          <w:numId w:val="1"/>
        </w:numPr>
        <w:jc w:val="both"/>
        <w:rPr>
          <w:u w:val="none"/>
        </w:rPr>
      </w:pPr>
      <w:r w:rsidRPr="00CE1288">
        <w:rPr>
          <w:u w:val="none"/>
        </w:rPr>
        <w:t>Vai iespējams iekšējo starpsienu risinājuma izmantot divkāršo stikla paketi, sasniedzot projektā nepieciešamās skaņas izolācijas prasības Rw=40 dB (projektā norādīts trīskāršais stiklojums)?</w:t>
      </w:r>
    </w:p>
    <w:p w:rsidR="00776A88" w:rsidRDefault="00776A88" w:rsidP="00776A88">
      <w:pPr>
        <w:pStyle w:val="ListParagraph"/>
        <w:ind w:left="1080"/>
        <w:jc w:val="both"/>
        <w:rPr>
          <w:u w:val="none"/>
        </w:rPr>
      </w:pPr>
      <w:r w:rsidRPr="0077616A">
        <w:rPr>
          <w:b/>
          <w:u w:val="none"/>
        </w:rPr>
        <w:t>Atbilde</w:t>
      </w:r>
      <w:r w:rsidRPr="0077616A">
        <w:rPr>
          <w:u w:val="none"/>
        </w:rPr>
        <w:t xml:space="preserve"> – Stiklojuma maiņa iespējama ar nosacījumu, ja tiek veikts sertificēta speciālista norobežojošās konstrukcijas skaņas izolācijas aprēķins projektā izvirzītajam prasībām (skatīt Vispārīgo daļu, Akustiskās apdares priekšlikumi).</w:t>
      </w:r>
    </w:p>
    <w:p w:rsidR="00776A88" w:rsidRPr="0077616A" w:rsidRDefault="00776A88" w:rsidP="00776A88">
      <w:pPr>
        <w:pStyle w:val="ListParagraph"/>
        <w:ind w:left="1080"/>
        <w:jc w:val="both"/>
        <w:rPr>
          <w:u w:val="none"/>
        </w:rPr>
      </w:pPr>
    </w:p>
    <w:p w:rsidR="00776A88" w:rsidRDefault="00776A88" w:rsidP="00776A88">
      <w:pPr>
        <w:numPr>
          <w:ilvl w:val="0"/>
          <w:numId w:val="1"/>
        </w:numPr>
        <w:jc w:val="both"/>
        <w:rPr>
          <w:u w:val="none"/>
        </w:rPr>
      </w:pPr>
      <w:r w:rsidRPr="00CE1288">
        <w:rPr>
          <w:u w:val="none"/>
        </w:rPr>
        <w:t>Ugunsdrošiem ārējiem logiem projektā norādīta tikai ugunsdroša stikla pakete. Profilu sistēmas paredz arī logu rāmi un vērtni izgatavot no ugunsdroša profila, lai nodrošinātu sertificētu sistēmu. Vai šiem logiem izmantot parasto stikla paketi bez ugunsdrošības vai arī aprēķinā iekļaut pilnu ugunsdrošo logu sistēmu (ugunsdrošs profils un stikls- attiecīgi dārgāks, bet sertificēts variants)?</w:t>
      </w:r>
    </w:p>
    <w:p w:rsidR="00776A88" w:rsidRDefault="00776A88" w:rsidP="00776A88">
      <w:pPr>
        <w:pStyle w:val="ListParagraph"/>
        <w:ind w:left="1080"/>
        <w:jc w:val="both"/>
        <w:rPr>
          <w:u w:val="none"/>
        </w:rPr>
      </w:pPr>
      <w:r w:rsidRPr="0077616A">
        <w:rPr>
          <w:b/>
          <w:u w:val="none"/>
        </w:rPr>
        <w:t>Atbilde</w:t>
      </w:r>
      <w:r w:rsidRPr="0077616A">
        <w:rPr>
          <w:u w:val="none"/>
        </w:rPr>
        <w:t xml:space="preserve"> – Izmaksu piedāvājumā jāiekļauj pilna ugunsdroša loga sistēma atbilstoši EI30 prasībām.</w:t>
      </w:r>
    </w:p>
    <w:p w:rsidR="00776A88" w:rsidRPr="0077616A" w:rsidRDefault="00776A88" w:rsidP="00776A88">
      <w:pPr>
        <w:pStyle w:val="ListParagraph"/>
        <w:ind w:left="1080"/>
        <w:jc w:val="both"/>
        <w:rPr>
          <w:u w:val="none"/>
        </w:rPr>
      </w:pPr>
    </w:p>
    <w:p w:rsidR="00776A88" w:rsidRDefault="00776A88" w:rsidP="00776A88">
      <w:pPr>
        <w:numPr>
          <w:ilvl w:val="0"/>
          <w:numId w:val="1"/>
        </w:numPr>
        <w:jc w:val="both"/>
        <w:rPr>
          <w:u w:val="none"/>
        </w:rPr>
      </w:pPr>
      <w:r w:rsidRPr="00CE1288">
        <w:rPr>
          <w:u w:val="none"/>
        </w:rPr>
        <w:t>Vai iespējams ugunsdrošo logu vērtnes nomainīt uz durvju vērtnēm, tādējādi nodrošinot šo logu atvēršanos (logi nevar būt atverami/atgāžami)?</w:t>
      </w:r>
    </w:p>
    <w:p w:rsidR="00776A88" w:rsidRPr="0077616A" w:rsidRDefault="00776A88" w:rsidP="00776A88">
      <w:pPr>
        <w:pStyle w:val="ListParagraph"/>
        <w:ind w:left="1080"/>
        <w:jc w:val="both"/>
        <w:rPr>
          <w:u w:val="none"/>
        </w:rPr>
      </w:pPr>
      <w:r w:rsidRPr="0077616A">
        <w:rPr>
          <w:b/>
          <w:u w:val="none"/>
        </w:rPr>
        <w:t>Atbilde</w:t>
      </w:r>
      <w:r w:rsidRPr="0077616A">
        <w:rPr>
          <w:u w:val="none"/>
        </w:rPr>
        <w:t xml:space="preserve"> – Iespējams.</w:t>
      </w:r>
    </w:p>
    <w:p w:rsidR="00776A88" w:rsidRDefault="00776A88" w:rsidP="00776A88">
      <w:pPr>
        <w:pStyle w:val="ListParagraph"/>
        <w:ind w:left="1080"/>
        <w:jc w:val="both"/>
      </w:pPr>
    </w:p>
    <w:p w:rsidR="00776A88" w:rsidRDefault="00776A88" w:rsidP="00776A88">
      <w:pPr>
        <w:numPr>
          <w:ilvl w:val="0"/>
          <w:numId w:val="1"/>
        </w:numPr>
        <w:jc w:val="both"/>
        <w:rPr>
          <w:u w:val="none"/>
        </w:rPr>
      </w:pPr>
      <w:r w:rsidRPr="00CE1288">
        <w:rPr>
          <w:u w:val="none"/>
        </w:rPr>
        <w:t xml:space="preserve">Vai iespējams iekšējo starpsienu atveramos logus uzgatavot no </w:t>
      </w:r>
      <w:proofErr w:type="spellStart"/>
      <w:r w:rsidRPr="00CE1288">
        <w:rPr>
          <w:u w:val="none"/>
        </w:rPr>
        <w:t>Schuco</w:t>
      </w:r>
      <w:proofErr w:type="spellEnd"/>
      <w:r w:rsidRPr="00CE1288">
        <w:rPr>
          <w:u w:val="none"/>
        </w:rPr>
        <w:t xml:space="preserve"> sistēmas AWS102 profilu sistēmas.</w:t>
      </w:r>
    </w:p>
    <w:p w:rsidR="00776A88" w:rsidRDefault="00776A88" w:rsidP="00776A88">
      <w:pPr>
        <w:pStyle w:val="ListParagraph"/>
        <w:ind w:left="1080"/>
        <w:jc w:val="both"/>
        <w:rPr>
          <w:u w:val="none"/>
        </w:rPr>
      </w:pPr>
      <w:r w:rsidRPr="0077616A">
        <w:rPr>
          <w:b/>
          <w:u w:val="none"/>
        </w:rPr>
        <w:t>Atbilde</w:t>
      </w:r>
      <w:r w:rsidRPr="0077616A">
        <w:rPr>
          <w:u w:val="none"/>
        </w:rPr>
        <w:t xml:space="preserve"> – Iespējams.</w:t>
      </w:r>
    </w:p>
    <w:p w:rsidR="00776A88" w:rsidRPr="0077616A" w:rsidRDefault="00776A88" w:rsidP="00776A88">
      <w:pPr>
        <w:pStyle w:val="ListParagraph"/>
        <w:ind w:left="1080"/>
        <w:jc w:val="both"/>
        <w:rPr>
          <w:u w:val="none"/>
        </w:rPr>
      </w:pPr>
    </w:p>
    <w:p w:rsidR="00776A88" w:rsidRDefault="00776A88" w:rsidP="00776A88">
      <w:pPr>
        <w:numPr>
          <w:ilvl w:val="0"/>
          <w:numId w:val="1"/>
        </w:numPr>
        <w:jc w:val="both"/>
        <w:rPr>
          <w:u w:val="none"/>
        </w:rPr>
      </w:pPr>
      <w:r w:rsidRPr="00CE1288">
        <w:rPr>
          <w:u w:val="none"/>
        </w:rPr>
        <w:t>Vai iekšējo starpsienu logu automātikai jābūt ar vēdināšanas funkciju vai arī jāiekļauj ugunsgrēka avārijas funkcija? Vai logu atvēršana vēdināšanai centrālei jābūt katram stāvam atsevišķi.</w:t>
      </w:r>
    </w:p>
    <w:p w:rsidR="00776A88" w:rsidRPr="0077616A" w:rsidRDefault="00776A88" w:rsidP="00776A88">
      <w:pPr>
        <w:pStyle w:val="ListParagraph"/>
        <w:ind w:left="1080"/>
        <w:jc w:val="both"/>
        <w:rPr>
          <w:u w:val="none"/>
        </w:rPr>
      </w:pPr>
      <w:r w:rsidRPr="0077616A">
        <w:rPr>
          <w:b/>
          <w:u w:val="none"/>
        </w:rPr>
        <w:t>Atbilde</w:t>
      </w:r>
      <w:r w:rsidRPr="0077616A">
        <w:rPr>
          <w:u w:val="none"/>
        </w:rPr>
        <w:t xml:space="preserve"> – Stikloto starpsienu ISV1-4, ISV3-3 logi paredzēti tikai dūmu novadīšanai ugunsgrēka trauksmes gadījumā. Tos ir paredzēts aprīkot ar atvēršanas mehānismiem, kurus vada ēkas dūmu nosūces automātikas sistēma (skatīt 12.sējumu 12.1.2 sadaļu).</w:t>
      </w:r>
    </w:p>
    <w:p w:rsidR="00776A88" w:rsidRDefault="00776A88">
      <w:pPr>
        <w:spacing w:after="200" w:line="276" w:lineRule="auto"/>
        <w:rPr>
          <w:b/>
          <w:u w:val="none"/>
        </w:rPr>
      </w:pPr>
      <w:r>
        <w:rPr>
          <w:b/>
          <w:u w:val="none"/>
        </w:rPr>
        <w:br w:type="page"/>
      </w:r>
    </w:p>
    <w:p w:rsidR="00776A88" w:rsidRPr="00EA0B85" w:rsidRDefault="00776A88" w:rsidP="00776A88">
      <w:pPr>
        <w:ind w:left="720" w:firstLine="360"/>
        <w:jc w:val="both"/>
        <w:rPr>
          <w:b/>
          <w:u w:val="none"/>
        </w:rPr>
      </w:pPr>
      <w:bookmarkStart w:id="0" w:name="_GoBack"/>
      <w:bookmarkEnd w:id="0"/>
    </w:p>
    <w:p w:rsidR="00776A88" w:rsidRDefault="00776A88" w:rsidP="00776A88">
      <w:pPr>
        <w:pStyle w:val="ListParagraph"/>
        <w:numPr>
          <w:ilvl w:val="0"/>
          <w:numId w:val="1"/>
        </w:numPr>
        <w:spacing w:after="160" w:line="259" w:lineRule="auto"/>
        <w:jc w:val="both"/>
        <w:rPr>
          <w:u w:val="none"/>
        </w:rPr>
      </w:pPr>
      <w:r>
        <w:rPr>
          <w:u w:val="none"/>
        </w:rPr>
        <w:t>Lokālās tāmes Nr.1-3 pozīcijām Nr.</w:t>
      </w:r>
      <w:r w:rsidRPr="00C97D4C">
        <w:rPr>
          <w:u w:val="none"/>
        </w:rPr>
        <w:t>2.4, 11.1, 12.1, 13.1, 14.1, 15.1, 16.1, 17.1, 19.5, 21.7, 22.7, 23.1, 24.5, 25.9, 26.9, 28.1, kurās iepriekš atbildēs paredzēts iekļaut izdevumus par esošā mūra izkalšanu un būvgružu utilizāciju, nepieciešams sniegt izkaļamā mūra apjomu.</w:t>
      </w:r>
    </w:p>
    <w:p w:rsidR="00776A88" w:rsidRPr="0077616A" w:rsidRDefault="00776A88" w:rsidP="00776A88">
      <w:pPr>
        <w:pStyle w:val="ListParagraph"/>
        <w:spacing w:after="160" w:line="259" w:lineRule="auto"/>
        <w:ind w:left="1080"/>
        <w:jc w:val="both"/>
        <w:rPr>
          <w:u w:val="none"/>
        </w:rPr>
      </w:pPr>
      <w:r w:rsidRPr="0077616A">
        <w:rPr>
          <w:b/>
          <w:u w:val="none"/>
        </w:rPr>
        <w:t>Atbilde</w:t>
      </w:r>
      <w:r w:rsidRPr="0077616A">
        <w:rPr>
          <w:u w:val="none"/>
        </w:rPr>
        <w:t xml:space="preserve"> –</w:t>
      </w:r>
      <w:r>
        <w:rPr>
          <w:u w:val="none"/>
        </w:rPr>
        <w:t xml:space="preserve"> </w:t>
      </w:r>
      <w:r w:rsidRPr="0077616A">
        <w:rPr>
          <w:u w:val="none"/>
        </w:rPr>
        <w:t>Būvgružu izkalšanas un utilizācijas apjomu jāaprēķina Pretendentam un izmaksas jāiekļauj norādītajās pozīcijās.</w:t>
      </w:r>
    </w:p>
    <w:p w:rsidR="00776A88" w:rsidRDefault="00776A88" w:rsidP="00776A88">
      <w:pPr>
        <w:pStyle w:val="ListParagraph"/>
        <w:numPr>
          <w:ilvl w:val="0"/>
          <w:numId w:val="1"/>
        </w:numPr>
        <w:spacing w:after="160" w:line="259" w:lineRule="auto"/>
        <w:jc w:val="both"/>
        <w:rPr>
          <w:u w:val="none"/>
        </w:rPr>
      </w:pPr>
      <w:r w:rsidRPr="002C11AC">
        <w:rPr>
          <w:u w:val="none"/>
        </w:rPr>
        <w:t>Nepiecie</w:t>
      </w:r>
      <w:r>
        <w:rPr>
          <w:u w:val="none"/>
        </w:rPr>
        <w:t>šams precizēt lokālās tāmes Nr.1-4 pozīcijā Nr.</w:t>
      </w:r>
      <w:r w:rsidRPr="002C11AC">
        <w:rPr>
          <w:u w:val="none"/>
        </w:rPr>
        <w:t>10 paredzēto krāsoto, pulētu vai laminētu paneļu 25mm modeli, aprakstu.</w:t>
      </w:r>
    </w:p>
    <w:p w:rsidR="00776A88" w:rsidRPr="0077616A" w:rsidRDefault="00776A88" w:rsidP="00776A88">
      <w:pPr>
        <w:pStyle w:val="ListParagraph"/>
        <w:spacing w:after="160" w:line="259" w:lineRule="auto"/>
        <w:ind w:left="1080"/>
        <w:jc w:val="both"/>
        <w:rPr>
          <w:u w:val="none"/>
        </w:rPr>
      </w:pPr>
      <w:r w:rsidRPr="0077616A">
        <w:rPr>
          <w:b/>
          <w:u w:val="none"/>
        </w:rPr>
        <w:t>Atbilde</w:t>
      </w:r>
      <w:r w:rsidRPr="0077616A">
        <w:rPr>
          <w:u w:val="none"/>
        </w:rPr>
        <w:t xml:space="preserve"> –</w:t>
      </w:r>
      <w:r>
        <w:rPr>
          <w:u w:val="none"/>
        </w:rPr>
        <w:t xml:space="preserve"> </w:t>
      </w:r>
      <w:r w:rsidRPr="0077616A">
        <w:rPr>
          <w:u w:val="none"/>
        </w:rPr>
        <w:t>Projektā norādīts, ka sienas tipa S6 apdarē jāizmanto krāsoti, pulēti vai laminēti apdares paneļi. Apdares tonis S0502-B pēc NCS skalas (skatīt lapu IN-6-1), stiprinājuma mezglus skatīt ARD sadaļā lapā GF-2 un PM-12.</w:t>
      </w:r>
    </w:p>
    <w:p w:rsidR="00776A88" w:rsidRDefault="00776A88"/>
    <w:sectPr w:rsidR="00776A88" w:rsidSect="00776A88">
      <w:footerReference w:type="defaul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422" w:rsidRDefault="00ED1422" w:rsidP="00776A88">
      <w:r>
        <w:separator/>
      </w:r>
    </w:p>
  </w:endnote>
  <w:endnote w:type="continuationSeparator" w:id="0">
    <w:p w:rsidR="00ED1422" w:rsidRDefault="00ED1422" w:rsidP="0077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408096"/>
      <w:docPartObj>
        <w:docPartGallery w:val="Page Numbers (Bottom of Page)"/>
        <w:docPartUnique/>
      </w:docPartObj>
    </w:sdtPr>
    <w:sdtEndPr>
      <w:rPr>
        <w:noProof/>
        <w:u w:val="none"/>
      </w:rPr>
    </w:sdtEndPr>
    <w:sdtContent>
      <w:p w:rsidR="00776A88" w:rsidRPr="00776A88" w:rsidRDefault="00776A88">
        <w:pPr>
          <w:pStyle w:val="Footer"/>
          <w:jc w:val="right"/>
          <w:rPr>
            <w:u w:val="none"/>
          </w:rPr>
        </w:pPr>
        <w:r w:rsidRPr="00776A88">
          <w:rPr>
            <w:u w:val="none"/>
          </w:rPr>
          <w:fldChar w:fldCharType="begin"/>
        </w:r>
        <w:r w:rsidRPr="00776A88">
          <w:rPr>
            <w:u w:val="none"/>
          </w:rPr>
          <w:instrText xml:space="preserve"> PAGE   \* MERGEFORMAT </w:instrText>
        </w:r>
        <w:r w:rsidRPr="00776A88">
          <w:rPr>
            <w:u w:val="none"/>
          </w:rPr>
          <w:fldChar w:fldCharType="separate"/>
        </w:r>
        <w:r>
          <w:rPr>
            <w:noProof/>
            <w:u w:val="none"/>
          </w:rPr>
          <w:t>2</w:t>
        </w:r>
        <w:r w:rsidRPr="00776A88">
          <w:rPr>
            <w:noProof/>
            <w:u w:val="none"/>
          </w:rPr>
          <w:fldChar w:fldCharType="end"/>
        </w:r>
      </w:p>
    </w:sdtContent>
  </w:sdt>
  <w:p w:rsidR="00776A88" w:rsidRDefault="00776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422" w:rsidRDefault="00ED1422" w:rsidP="00776A88">
      <w:r>
        <w:separator/>
      </w:r>
    </w:p>
  </w:footnote>
  <w:footnote w:type="continuationSeparator" w:id="0">
    <w:p w:rsidR="00ED1422" w:rsidRDefault="00ED1422" w:rsidP="00776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453"/>
    <w:multiLevelType w:val="hybridMultilevel"/>
    <w:tmpl w:val="7070FEA0"/>
    <w:lvl w:ilvl="0" w:tplc="0426000F">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A88"/>
    <w:rsid w:val="007378D6"/>
    <w:rsid w:val="00776A88"/>
    <w:rsid w:val="00D11E74"/>
    <w:rsid w:val="00ED14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88"/>
    <w:pPr>
      <w:spacing w:after="0" w:line="240" w:lineRule="auto"/>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88"/>
    <w:pPr>
      <w:ind w:left="720"/>
    </w:pPr>
  </w:style>
  <w:style w:type="paragraph" w:styleId="Header">
    <w:name w:val="header"/>
    <w:basedOn w:val="Normal"/>
    <w:link w:val="HeaderChar"/>
    <w:uiPriority w:val="99"/>
    <w:unhideWhenUsed/>
    <w:rsid w:val="00776A88"/>
    <w:pPr>
      <w:tabs>
        <w:tab w:val="center" w:pos="4153"/>
        <w:tab w:val="right" w:pos="8306"/>
      </w:tabs>
    </w:pPr>
  </w:style>
  <w:style w:type="character" w:customStyle="1" w:styleId="HeaderChar">
    <w:name w:val="Header Char"/>
    <w:basedOn w:val="DefaultParagraphFont"/>
    <w:link w:val="Header"/>
    <w:uiPriority w:val="99"/>
    <w:rsid w:val="00776A88"/>
    <w:rPr>
      <w:rFonts w:ascii="Times New Roman" w:eastAsia="Times New Roman" w:hAnsi="Times New Roman" w:cs="Times New Roman"/>
      <w:sz w:val="24"/>
      <w:szCs w:val="24"/>
      <w:u w:val="single"/>
    </w:rPr>
  </w:style>
  <w:style w:type="paragraph" w:styleId="Footer">
    <w:name w:val="footer"/>
    <w:basedOn w:val="Normal"/>
    <w:link w:val="FooterChar"/>
    <w:uiPriority w:val="99"/>
    <w:unhideWhenUsed/>
    <w:rsid w:val="00776A88"/>
    <w:pPr>
      <w:tabs>
        <w:tab w:val="center" w:pos="4153"/>
        <w:tab w:val="right" w:pos="8306"/>
      </w:tabs>
    </w:pPr>
  </w:style>
  <w:style w:type="character" w:customStyle="1" w:styleId="FooterChar">
    <w:name w:val="Footer Char"/>
    <w:basedOn w:val="DefaultParagraphFont"/>
    <w:link w:val="Footer"/>
    <w:uiPriority w:val="99"/>
    <w:rsid w:val="00776A88"/>
    <w:rPr>
      <w:rFonts w:ascii="Times New Roman" w:eastAsia="Times New Roman" w:hAnsi="Times New Roman" w:cs="Times New Roman"/>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88"/>
    <w:pPr>
      <w:spacing w:after="0" w:line="240" w:lineRule="auto"/>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88"/>
    <w:pPr>
      <w:ind w:left="720"/>
    </w:pPr>
  </w:style>
  <w:style w:type="paragraph" w:styleId="Header">
    <w:name w:val="header"/>
    <w:basedOn w:val="Normal"/>
    <w:link w:val="HeaderChar"/>
    <w:uiPriority w:val="99"/>
    <w:unhideWhenUsed/>
    <w:rsid w:val="00776A88"/>
    <w:pPr>
      <w:tabs>
        <w:tab w:val="center" w:pos="4153"/>
        <w:tab w:val="right" w:pos="8306"/>
      </w:tabs>
    </w:pPr>
  </w:style>
  <w:style w:type="character" w:customStyle="1" w:styleId="HeaderChar">
    <w:name w:val="Header Char"/>
    <w:basedOn w:val="DefaultParagraphFont"/>
    <w:link w:val="Header"/>
    <w:uiPriority w:val="99"/>
    <w:rsid w:val="00776A88"/>
    <w:rPr>
      <w:rFonts w:ascii="Times New Roman" w:eastAsia="Times New Roman" w:hAnsi="Times New Roman" w:cs="Times New Roman"/>
      <w:sz w:val="24"/>
      <w:szCs w:val="24"/>
      <w:u w:val="single"/>
    </w:rPr>
  </w:style>
  <w:style w:type="paragraph" w:styleId="Footer">
    <w:name w:val="footer"/>
    <w:basedOn w:val="Normal"/>
    <w:link w:val="FooterChar"/>
    <w:uiPriority w:val="99"/>
    <w:unhideWhenUsed/>
    <w:rsid w:val="00776A88"/>
    <w:pPr>
      <w:tabs>
        <w:tab w:val="center" w:pos="4153"/>
        <w:tab w:val="right" w:pos="8306"/>
      </w:tabs>
    </w:pPr>
  </w:style>
  <w:style w:type="character" w:customStyle="1" w:styleId="FooterChar">
    <w:name w:val="Footer Char"/>
    <w:basedOn w:val="DefaultParagraphFont"/>
    <w:link w:val="Footer"/>
    <w:uiPriority w:val="99"/>
    <w:rsid w:val="00776A88"/>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6028</Words>
  <Characters>3437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Saeima</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B-327</dc:creator>
  <cp:keywords/>
  <dc:description/>
  <cp:lastModifiedBy> B-327</cp:lastModifiedBy>
  <cp:revision>1</cp:revision>
  <dcterms:created xsi:type="dcterms:W3CDTF">2014-01-30T13:47:00Z</dcterms:created>
  <dcterms:modified xsi:type="dcterms:W3CDTF">2014-01-30T13:55:00Z</dcterms:modified>
</cp:coreProperties>
</file>