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F1" w:rsidRDefault="00172CF1" w:rsidP="00172CF1">
      <w:pPr>
        <w:ind w:firstLine="720"/>
        <w:jc w:val="both"/>
        <w:rPr>
          <w:b/>
          <w:u w:val="none"/>
        </w:rPr>
      </w:pPr>
      <w:r>
        <w:rPr>
          <w:b/>
          <w:u w:val="none"/>
        </w:rPr>
        <w:t>2</w:t>
      </w:r>
      <w:r>
        <w:rPr>
          <w:b/>
          <w:u w:val="none"/>
        </w:rPr>
        <w:t>8</w:t>
      </w:r>
      <w:r>
        <w:rPr>
          <w:b/>
          <w:u w:val="none"/>
        </w:rPr>
        <w:t>.01.2014.</w:t>
      </w:r>
      <w:r>
        <w:rPr>
          <w:b/>
          <w:u w:val="none"/>
        </w:rPr>
        <w:t xml:space="preserve"> – 1.daļa</w:t>
      </w:r>
      <w:r>
        <w:rPr>
          <w:b/>
          <w:u w:val="none"/>
        </w:rPr>
        <w:t xml:space="preserve"> </w:t>
      </w:r>
    </w:p>
    <w:p w:rsidR="00172CF1" w:rsidRDefault="00172CF1" w:rsidP="00172CF1">
      <w:pPr>
        <w:ind w:firstLine="720"/>
        <w:jc w:val="both"/>
        <w:rPr>
          <w:b/>
        </w:rPr>
      </w:pPr>
    </w:p>
    <w:p w:rsidR="00172CF1" w:rsidRPr="00172CF1" w:rsidRDefault="00172CF1" w:rsidP="00172CF1">
      <w:pPr>
        <w:pStyle w:val="ListParagraph"/>
        <w:ind w:firstLine="698"/>
        <w:jc w:val="both"/>
        <w:rPr>
          <w:u w:val="none"/>
        </w:rPr>
      </w:pPr>
      <w:r w:rsidRPr="00172CF1">
        <w:rPr>
          <w:u w:val="none"/>
        </w:rPr>
        <w:t>Iepirkuma komisija ir sagatavojusi atbildes uz ieinteresēt</w:t>
      </w:r>
      <w:r>
        <w:rPr>
          <w:u w:val="none"/>
        </w:rPr>
        <w:t>o</w:t>
      </w:r>
      <w:r w:rsidRPr="00172CF1">
        <w:rPr>
          <w:u w:val="none"/>
        </w:rPr>
        <w:t xml:space="preserve"> piegādātāj</w:t>
      </w:r>
      <w:r>
        <w:rPr>
          <w:u w:val="none"/>
        </w:rPr>
        <w:t>u</w:t>
      </w:r>
      <w:r w:rsidRPr="00172CF1">
        <w:rPr>
          <w:u w:val="none"/>
        </w:rPr>
        <w:t xml:space="preserve"> uzdotajiem jautājumiem. Turpmāk tekstā iesniegtie jautājumi un sniegtās atbildes:</w:t>
      </w:r>
    </w:p>
    <w:p w:rsidR="003D4ED5" w:rsidRDefault="003D4ED5"/>
    <w:p w:rsidR="00172CF1" w:rsidRDefault="00172CF1" w:rsidP="00172CF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Lokālās tāmes Nr.1-1 pozīcija Nr.3.7 un projekta lapas IS-2-1 attiecīgā pozīcija „</w:t>
      </w:r>
      <w:r w:rsidRPr="003E4F47">
        <w:rPr>
          <w:u w:val="none"/>
        </w:rPr>
        <w:t>Demontējamas durvis un transportējamas restaurācijai</w:t>
      </w:r>
      <w:r>
        <w:rPr>
          <w:u w:val="none"/>
        </w:rPr>
        <w:t xml:space="preserve">” 6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 xml:space="preserve">. neatbilst projekta lapā AR-2-2 dotajām 1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>.</w:t>
      </w:r>
    </w:p>
    <w:p w:rsidR="00172CF1" w:rsidRDefault="00172CF1" w:rsidP="00172CF1">
      <w:pPr>
        <w:ind w:left="720"/>
        <w:jc w:val="both"/>
        <w:rPr>
          <w:u w:val="none"/>
        </w:rPr>
      </w:pPr>
    </w:p>
    <w:p w:rsidR="00172CF1" w:rsidRDefault="00172CF1" w:rsidP="00172CF1">
      <w:pPr>
        <w:ind w:left="720"/>
        <w:jc w:val="both"/>
        <w:rPr>
          <w:u w:val="none"/>
        </w:rPr>
      </w:pPr>
      <w:r w:rsidRPr="004E11AF">
        <w:rPr>
          <w:b/>
          <w:u w:val="none"/>
        </w:rPr>
        <w:t>Atbilde</w:t>
      </w:r>
      <w:r>
        <w:rPr>
          <w:u w:val="none"/>
        </w:rPr>
        <w:t xml:space="preserve"> – Demontējamo un restaurācijai transportējamo durvju apjoms tāmē 1-1, p.3.7 un lapā IS-2-1 ir korekts, skatīt lapu</w:t>
      </w:r>
      <w:r w:rsidRPr="000509A7">
        <w:rPr>
          <w:u w:val="none"/>
        </w:rPr>
        <w:t xml:space="preserve"> </w:t>
      </w:r>
      <w:r>
        <w:rPr>
          <w:u w:val="none"/>
        </w:rPr>
        <w:t>AR-2-2i1.</w:t>
      </w:r>
    </w:p>
    <w:p w:rsidR="00172CF1" w:rsidRPr="00EB1EE7" w:rsidRDefault="00172CF1" w:rsidP="00172CF1">
      <w:pPr>
        <w:ind w:left="720"/>
        <w:rPr>
          <w:u w:val="none"/>
        </w:rPr>
      </w:pPr>
    </w:p>
    <w:p w:rsidR="00172CF1" w:rsidRDefault="00172CF1" w:rsidP="00172CF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Lokālās tāmes Nr.1-1 pozīcija Nr.3.8 un projekta lapas IS-2-1 attiecīgā pozīcija „</w:t>
      </w:r>
      <w:r w:rsidRPr="003E4F47">
        <w:rPr>
          <w:u w:val="none"/>
        </w:rPr>
        <w:t>Demontējami logi</w:t>
      </w:r>
      <w:r>
        <w:rPr>
          <w:u w:val="none"/>
        </w:rPr>
        <w:t xml:space="preserve">” 2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 xml:space="preserve">. neatbilst projekta lapā AR-2-2 dotajām 3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>.</w:t>
      </w:r>
    </w:p>
    <w:p w:rsidR="00172CF1" w:rsidRDefault="00172CF1" w:rsidP="00172CF1">
      <w:pPr>
        <w:ind w:left="720"/>
        <w:jc w:val="both"/>
        <w:rPr>
          <w:u w:val="none"/>
        </w:rPr>
      </w:pPr>
    </w:p>
    <w:p w:rsidR="00172CF1" w:rsidRDefault="00172CF1" w:rsidP="00172CF1">
      <w:pPr>
        <w:ind w:left="720"/>
        <w:jc w:val="both"/>
        <w:rPr>
          <w:u w:val="none"/>
        </w:rPr>
      </w:pPr>
      <w:r w:rsidRPr="004E11AF">
        <w:rPr>
          <w:b/>
          <w:u w:val="none"/>
        </w:rPr>
        <w:t>Atbilde</w:t>
      </w:r>
      <w:r>
        <w:rPr>
          <w:u w:val="none"/>
        </w:rPr>
        <w:t xml:space="preserve"> – Skatīt lapu AR-2-2i1, IS-2-1i1 un apjomu sarakstu, tāmi 1-1, p.3.8.</w:t>
      </w:r>
    </w:p>
    <w:p w:rsidR="00172CF1" w:rsidRDefault="00172CF1" w:rsidP="00172CF1">
      <w:pPr>
        <w:ind w:left="720"/>
        <w:rPr>
          <w:u w:val="none"/>
        </w:rPr>
      </w:pPr>
    </w:p>
    <w:p w:rsidR="00172CF1" w:rsidRDefault="00172CF1" w:rsidP="00172CF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Lokālās tāmes Nr.1-1 pozīcija Nr.3.9 un projekta lapas IS-2-1 attiecīgā pozīcija „</w:t>
      </w:r>
      <w:r w:rsidRPr="0092249D">
        <w:rPr>
          <w:u w:val="none"/>
        </w:rPr>
        <w:t>Demontējami logi un transportējami restaurācijai</w:t>
      </w:r>
      <w:r>
        <w:rPr>
          <w:u w:val="none"/>
        </w:rPr>
        <w:t xml:space="preserve">” 15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 xml:space="preserve">. neatbilst projekta lapā AR-2-2 dotajiem 9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>.</w:t>
      </w:r>
    </w:p>
    <w:p w:rsidR="00172CF1" w:rsidRDefault="00172CF1" w:rsidP="00172CF1">
      <w:pPr>
        <w:ind w:left="720"/>
        <w:jc w:val="both"/>
        <w:rPr>
          <w:u w:val="none"/>
        </w:rPr>
      </w:pPr>
    </w:p>
    <w:p w:rsidR="00172CF1" w:rsidRDefault="00172CF1" w:rsidP="00172CF1">
      <w:pPr>
        <w:ind w:left="720"/>
        <w:jc w:val="both"/>
        <w:rPr>
          <w:u w:val="none"/>
        </w:rPr>
      </w:pPr>
      <w:r w:rsidRPr="004E11AF">
        <w:rPr>
          <w:b/>
          <w:u w:val="none"/>
        </w:rPr>
        <w:t>Atbilde</w:t>
      </w:r>
      <w:r>
        <w:rPr>
          <w:u w:val="none"/>
        </w:rPr>
        <w:t xml:space="preserve"> –</w:t>
      </w:r>
      <w:r w:rsidRPr="004E11AF">
        <w:rPr>
          <w:u w:val="none"/>
        </w:rPr>
        <w:t xml:space="preserve"> </w:t>
      </w:r>
      <w:r>
        <w:rPr>
          <w:u w:val="none"/>
        </w:rPr>
        <w:t>Skatīt lapu IS-2-1i1 un apjomu sarakstu, tāmi 1-1, p.3.9.</w:t>
      </w:r>
    </w:p>
    <w:p w:rsidR="00172CF1" w:rsidRDefault="00172CF1" w:rsidP="00172CF1">
      <w:pPr>
        <w:ind w:left="720"/>
        <w:rPr>
          <w:u w:val="none"/>
        </w:rPr>
      </w:pPr>
    </w:p>
    <w:p w:rsidR="00172CF1" w:rsidRDefault="00172CF1" w:rsidP="00172CF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Lokālās tāmes Nr.1-1 pozīcija Nr.4.6 un projekta lapas IS-2-1 attiecīgā pozīcija „</w:t>
      </w:r>
      <w:r w:rsidRPr="004A387F">
        <w:rPr>
          <w:u w:val="none"/>
        </w:rPr>
        <w:t>Demontējamas durvis</w:t>
      </w:r>
      <w:r>
        <w:rPr>
          <w:u w:val="none"/>
        </w:rPr>
        <w:t xml:space="preserve">” 3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 xml:space="preserve">. neatbilst projekta lapā AR-2-3 dotajām 6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>.</w:t>
      </w:r>
    </w:p>
    <w:p w:rsidR="00172CF1" w:rsidRDefault="00172CF1" w:rsidP="00172CF1">
      <w:pPr>
        <w:ind w:left="720"/>
        <w:jc w:val="both"/>
        <w:rPr>
          <w:u w:val="none"/>
        </w:rPr>
      </w:pPr>
    </w:p>
    <w:p w:rsidR="00172CF1" w:rsidRDefault="00172CF1" w:rsidP="00172CF1">
      <w:pPr>
        <w:ind w:left="720"/>
        <w:jc w:val="both"/>
        <w:rPr>
          <w:u w:val="none"/>
        </w:rPr>
      </w:pPr>
      <w:r w:rsidRPr="004E11AF">
        <w:rPr>
          <w:b/>
          <w:u w:val="none"/>
        </w:rPr>
        <w:t>Atbilde</w:t>
      </w:r>
      <w:r>
        <w:rPr>
          <w:u w:val="none"/>
        </w:rPr>
        <w:t xml:space="preserve"> – Demontējamo durvju apjoms tāmē 1-1, p.4.6 un lapā IS-2-1 ir korekts, skatīt lapu</w:t>
      </w:r>
      <w:r w:rsidRPr="000509A7">
        <w:rPr>
          <w:u w:val="none"/>
        </w:rPr>
        <w:t xml:space="preserve"> </w:t>
      </w:r>
      <w:r>
        <w:rPr>
          <w:u w:val="none"/>
        </w:rPr>
        <w:t>AR-2-3i1.</w:t>
      </w:r>
    </w:p>
    <w:p w:rsidR="00172CF1" w:rsidRDefault="00172CF1" w:rsidP="00172CF1">
      <w:pPr>
        <w:ind w:left="720"/>
        <w:rPr>
          <w:u w:val="none"/>
        </w:rPr>
      </w:pPr>
    </w:p>
    <w:p w:rsidR="00172CF1" w:rsidRDefault="00172CF1" w:rsidP="00172CF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Lokālajā tāmē Nr.1-1 ir paredzēta pozīcija Nr.4.7 „</w:t>
      </w:r>
      <w:r w:rsidRPr="004A387F">
        <w:rPr>
          <w:u w:val="none"/>
        </w:rPr>
        <w:t>Demontējamas durvis un transportējamas restaurācijai</w:t>
      </w:r>
      <w:r>
        <w:rPr>
          <w:u w:val="none"/>
        </w:rPr>
        <w:t xml:space="preserve">” 4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>., bet projekta lapā AR-2-3 šāda darba pozīcija nav paredzēta.</w:t>
      </w:r>
    </w:p>
    <w:p w:rsidR="00172CF1" w:rsidRDefault="00172CF1" w:rsidP="00172CF1">
      <w:pPr>
        <w:ind w:left="720"/>
        <w:jc w:val="both"/>
        <w:rPr>
          <w:u w:val="none"/>
        </w:rPr>
      </w:pPr>
    </w:p>
    <w:p w:rsidR="00172CF1" w:rsidRDefault="00172CF1" w:rsidP="00172CF1">
      <w:pPr>
        <w:ind w:left="720"/>
        <w:jc w:val="both"/>
        <w:rPr>
          <w:u w:val="none"/>
        </w:rPr>
      </w:pPr>
      <w:r w:rsidRPr="004E11AF">
        <w:rPr>
          <w:b/>
          <w:u w:val="none"/>
        </w:rPr>
        <w:t>Atbilde</w:t>
      </w:r>
      <w:r>
        <w:rPr>
          <w:u w:val="none"/>
        </w:rPr>
        <w:t xml:space="preserve"> – Demontējamo un restaurācijai transportējamo durvju apjoms tāmē 1-1, p.4.7 un lapā IS-2-1 ir korekts, skatīt lapu</w:t>
      </w:r>
      <w:r w:rsidRPr="000509A7">
        <w:rPr>
          <w:u w:val="none"/>
        </w:rPr>
        <w:t xml:space="preserve"> </w:t>
      </w:r>
      <w:r>
        <w:rPr>
          <w:u w:val="none"/>
        </w:rPr>
        <w:t>AR-2-3i1.</w:t>
      </w:r>
    </w:p>
    <w:p w:rsidR="00172CF1" w:rsidRPr="00EB1EE7" w:rsidRDefault="00172CF1" w:rsidP="00172CF1">
      <w:pPr>
        <w:ind w:left="720"/>
        <w:rPr>
          <w:u w:val="none"/>
        </w:rPr>
      </w:pPr>
    </w:p>
    <w:p w:rsidR="00172CF1" w:rsidRDefault="00172CF1" w:rsidP="00172CF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Lokālās tāmes Nr.1-1 pozīcija Nr.4.8 un projekta lapas IS-2-1 attiecīgā pozīcija „</w:t>
      </w:r>
      <w:r w:rsidRPr="001E567B">
        <w:rPr>
          <w:u w:val="none"/>
        </w:rPr>
        <w:t>Demontējami logi</w:t>
      </w:r>
      <w:r>
        <w:rPr>
          <w:u w:val="none"/>
        </w:rPr>
        <w:t xml:space="preserve">” 3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 xml:space="preserve">. neatbilst projekta lapā AR-2-3 dotajiem 5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>.</w:t>
      </w:r>
    </w:p>
    <w:p w:rsidR="00172CF1" w:rsidRDefault="00172CF1" w:rsidP="00172CF1">
      <w:pPr>
        <w:ind w:left="720"/>
        <w:jc w:val="both"/>
        <w:rPr>
          <w:u w:val="none"/>
        </w:rPr>
      </w:pPr>
    </w:p>
    <w:p w:rsidR="00172CF1" w:rsidRDefault="00172CF1" w:rsidP="00172CF1">
      <w:pPr>
        <w:ind w:left="720"/>
        <w:rPr>
          <w:u w:val="none"/>
        </w:rPr>
      </w:pPr>
      <w:r w:rsidRPr="004E11AF">
        <w:rPr>
          <w:b/>
          <w:u w:val="none"/>
        </w:rPr>
        <w:t>Atbilde</w:t>
      </w:r>
      <w:r>
        <w:rPr>
          <w:u w:val="none"/>
        </w:rPr>
        <w:t xml:space="preserve"> – Demontējamo logu apjoms tāmē 1-1, p.4.8 un lapā IS-2-1 ir korekts, skatīt lapu</w:t>
      </w:r>
      <w:r w:rsidRPr="000509A7">
        <w:rPr>
          <w:u w:val="none"/>
        </w:rPr>
        <w:t xml:space="preserve"> </w:t>
      </w:r>
      <w:r>
        <w:rPr>
          <w:u w:val="none"/>
        </w:rPr>
        <w:t>AR-2-3i1.</w:t>
      </w:r>
    </w:p>
    <w:p w:rsidR="00172CF1" w:rsidRPr="00EB1EE7" w:rsidRDefault="00172CF1" w:rsidP="00172CF1">
      <w:pPr>
        <w:rPr>
          <w:u w:val="none"/>
        </w:rPr>
      </w:pPr>
    </w:p>
    <w:p w:rsidR="00172CF1" w:rsidRDefault="00172CF1" w:rsidP="00172CF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Lokālajā tāmē Nr.1-1 un projekta lapā IS-2-1 nav iekļauta pozīcija „</w:t>
      </w:r>
      <w:r w:rsidRPr="001E567B">
        <w:rPr>
          <w:u w:val="none"/>
        </w:rPr>
        <w:t>Demontējami logi un transportējami restaurācijai</w:t>
      </w:r>
      <w:r>
        <w:rPr>
          <w:u w:val="none"/>
        </w:rPr>
        <w:t xml:space="preserve">” 1 </w:t>
      </w:r>
      <w:proofErr w:type="spellStart"/>
      <w:r>
        <w:rPr>
          <w:u w:val="none"/>
        </w:rPr>
        <w:t>gab</w:t>
      </w:r>
      <w:proofErr w:type="spellEnd"/>
      <w:r>
        <w:rPr>
          <w:u w:val="none"/>
        </w:rPr>
        <w:t>., kas ir paredzēta projekta lapā AR-2-3.</w:t>
      </w:r>
    </w:p>
    <w:p w:rsidR="00172CF1" w:rsidRDefault="00172CF1" w:rsidP="00172CF1">
      <w:pPr>
        <w:ind w:left="720"/>
        <w:jc w:val="both"/>
        <w:rPr>
          <w:u w:val="none"/>
        </w:rPr>
      </w:pPr>
    </w:p>
    <w:p w:rsidR="00172CF1" w:rsidRDefault="00172CF1" w:rsidP="00172CF1">
      <w:pPr>
        <w:ind w:left="720"/>
        <w:jc w:val="both"/>
        <w:rPr>
          <w:u w:val="none"/>
        </w:rPr>
      </w:pPr>
      <w:r w:rsidRPr="004E11AF">
        <w:rPr>
          <w:b/>
          <w:u w:val="none"/>
        </w:rPr>
        <w:lastRenderedPageBreak/>
        <w:t>Atbilde</w:t>
      </w:r>
      <w:r>
        <w:rPr>
          <w:u w:val="none"/>
        </w:rPr>
        <w:t xml:space="preserve"> – Skatīt lapu IS-2-1i1 un apjomu sarakstu, tāmi 1-1, p.4.10.</w:t>
      </w:r>
    </w:p>
    <w:p w:rsidR="00172CF1" w:rsidRDefault="00172CF1" w:rsidP="00172CF1">
      <w:pPr>
        <w:rPr>
          <w:u w:val="none"/>
        </w:rPr>
      </w:pPr>
    </w:p>
    <w:p w:rsidR="00172CF1" w:rsidRDefault="00172CF1" w:rsidP="00172CF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Stāvā uz atzīmes 6,140 ir nesakritības starp</w:t>
      </w:r>
      <w:r w:rsidRPr="001A19CB">
        <w:rPr>
          <w:u w:val="none"/>
        </w:rPr>
        <w:t xml:space="preserve"> </w:t>
      </w:r>
      <w:r>
        <w:rPr>
          <w:u w:val="none"/>
        </w:rPr>
        <w:t>projekta lapās AR-2-4 un IS-2-1 dotajiem apjomiem attiecībā uz logiem un durvīm. Lūgums pārbaudīt un, ja nepieciešams izdarīt korekcijas tāmju formās!</w:t>
      </w:r>
    </w:p>
    <w:p w:rsidR="00172CF1" w:rsidRDefault="00172CF1" w:rsidP="00172CF1">
      <w:pPr>
        <w:ind w:left="720"/>
        <w:jc w:val="both"/>
        <w:rPr>
          <w:u w:val="none"/>
        </w:rPr>
      </w:pPr>
    </w:p>
    <w:p w:rsidR="00172CF1" w:rsidRDefault="00172CF1" w:rsidP="00172CF1">
      <w:pPr>
        <w:ind w:left="720"/>
        <w:jc w:val="both"/>
        <w:rPr>
          <w:u w:val="none"/>
        </w:rPr>
      </w:pPr>
      <w:r w:rsidRPr="004E11AF">
        <w:rPr>
          <w:b/>
          <w:u w:val="none"/>
        </w:rPr>
        <w:t>Atbilde</w:t>
      </w:r>
      <w:r>
        <w:rPr>
          <w:u w:val="none"/>
        </w:rPr>
        <w:t xml:space="preserve"> –</w:t>
      </w:r>
      <w:r w:rsidRPr="006C5491">
        <w:rPr>
          <w:u w:val="none"/>
        </w:rPr>
        <w:t xml:space="preserve"> </w:t>
      </w:r>
      <w:r>
        <w:rPr>
          <w:u w:val="none"/>
        </w:rPr>
        <w:t>Skatīt lapu</w:t>
      </w:r>
      <w:r w:rsidRPr="000509A7">
        <w:rPr>
          <w:u w:val="none"/>
        </w:rPr>
        <w:t xml:space="preserve"> </w:t>
      </w:r>
      <w:r>
        <w:rPr>
          <w:u w:val="none"/>
        </w:rPr>
        <w:t>AR-2-4i1, IS-2-1i1 un apjomu sarakstu, tāmi 1-1, p.5.8., 5.9.</w:t>
      </w:r>
    </w:p>
    <w:p w:rsidR="00172CF1" w:rsidRDefault="00172CF1" w:rsidP="00172CF1">
      <w:pPr>
        <w:ind w:left="720"/>
        <w:rPr>
          <w:u w:val="none"/>
        </w:rPr>
      </w:pPr>
    </w:p>
    <w:p w:rsidR="00172CF1" w:rsidRDefault="00172CF1" w:rsidP="00172CF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Stāvā uz atzīmes 9,000 ir nesakritības starp</w:t>
      </w:r>
      <w:r w:rsidRPr="001A19CB">
        <w:rPr>
          <w:u w:val="none"/>
        </w:rPr>
        <w:t xml:space="preserve"> </w:t>
      </w:r>
      <w:r>
        <w:rPr>
          <w:u w:val="none"/>
        </w:rPr>
        <w:t>projekta lapās AR-2-5 un IS-2-1 dotajiem apjomiem attiecībā uz logiem un durvīm. Lūgums pārbaudīt un, ja nepieciešams izdarīt korekcijas tāmju formās!</w:t>
      </w:r>
    </w:p>
    <w:p w:rsidR="00172CF1" w:rsidRDefault="00172CF1" w:rsidP="00172CF1">
      <w:pPr>
        <w:ind w:left="720"/>
        <w:jc w:val="both"/>
        <w:rPr>
          <w:u w:val="none"/>
        </w:rPr>
      </w:pPr>
    </w:p>
    <w:p w:rsidR="00172CF1" w:rsidRDefault="00172CF1" w:rsidP="00172CF1">
      <w:pPr>
        <w:ind w:left="720"/>
        <w:jc w:val="both"/>
        <w:rPr>
          <w:u w:val="none"/>
        </w:rPr>
      </w:pPr>
      <w:r w:rsidRPr="004E11AF">
        <w:rPr>
          <w:b/>
          <w:u w:val="none"/>
        </w:rPr>
        <w:t>Atbilde</w:t>
      </w:r>
      <w:r>
        <w:rPr>
          <w:u w:val="none"/>
        </w:rPr>
        <w:t xml:space="preserve"> – Demontējamo logu un durvju apjoms tāmē 1-1, p.6. un lapā IS-2-1 ir korekts, skatīt lapu</w:t>
      </w:r>
      <w:r w:rsidRPr="000509A7">
        <w:rPr>
          <w:u w:val="none"/>
        </w:rPr>
        <w:t xml:space="preserve"> </w:t>
      </w:r>
      <w:r>
        <w:rPr>
          <w:u w:val="none"/>
        </w:rPr>
        <w:t>AR-2-5i1.</w:t>
      </w:r>
    </w:p>
    <w:p w:rsidR="00172CF1" w:rsidRPr="00EB1EE7" w:rsidRDefault="00172CF1" w:rsidP="00172CF1">
      <w:pPr>
        <w:ind w:left="720"/>
        <w:rPr>
          <w:u w:val="none"/>
        </w:rPr>
      </w:pPr>
    </w:p>
    <w:p w:rsidR="00172CF1" w:rsidRDefault="00172CF1" w:rsidP="00172CF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Stāvā uz atzīmes 11,810 ir nesakritības starp</w:t>
      </w:r>
      <w:r w:rsidRPr="001A19CB">
        <w:rPr>
          <w:u w:val="none"/>
        </w:rPr>
        <w:t xml:space="preserve"> </w:t>
      </w:r>
      <w:r>
        <w:rPr>
          <w:u w:val="none"/>
        </w:rPr>
        <w:t>projekta lapās AR-2-6 un IS-2-1 dotajiem apjomiem attiecībā uz logiem un durvīm. Lūgums pārbaudīt un, ja nepieciešams izdarīt korekcijas tāmju formās!</w:t>
      </w:r>
    </w:p>
    <w:p w:rsidR="00172CF1" w:rsidRDefault="00172CF1" w:rsidP="00172CF1">
      <w:pPr>
        <w:ind w:left="720"/>
        <w:jc w:val="both"/>
        <w:rPr>
          <w:u w:val="none"/>
        </w:rPr>
      </w:pPr>
    </w:p>
    <w:p w:rsidR="00172CF1" w:rsidRDefault="00172CF1" w:rsidP="00172CF1">
      <w:pPr>
        <w:ind w:left="720"/>
        <w:jc w:val="both"/>
        <w:rPr>
          <w:u w:val="none"/>
        </w:rPr>
      </w:pPr>
      <w:r w:rsidRPr="004E11AF">
        <w:rPr>
          <w:b/>
          <w:u w:val="none"/>
        </w:rPr>
        <w:t>Atbilde</w:t>
      </w:r>
      <w:r>
        <w:rPr>
          <w:u w:val="none"/>
        </w:rPr>
        <w:t xml:space="preserve"> – Demontējamo logu un durvju apjoms tāmē 1-1, p.7. un lapā IS-2-1 ir korekts, skatīt lapu</w:t>
      </w:r>
      <w:r w:rsidRPr="000509A7">
        <w:rPr>
          <w:u w:val="none"/>
        </w:rPr>
        <w:t xml:space="preserve"> </w:t>
      </w:r>
      <w:r>
        <w:rPr>
          <w:u w:val="none"/>
        </w:rPr>
        <w:t>AR-2-6i1.</w:t>
      </w:r>
    </w:p>
    <w:p w:rsidR="00172CF1" w:rsidRPr="00EB1EE7" w:rsidRDefault="00172CF1" w:rsidP="00172CF1">
      <w:pPr>
        <w:ind w:left="720"/>
        <w:rPr>
          <w:u w:val="none"/>
        </w:rPr>
      </w:pPr>
    </w:p>
    <w:p w:rsidR="00172CF1" w:rsidRDefault="00172CF1" w:rsidP="00172CF1">
      <w:pPr>
        <w:numPr>
          <w:ilvl w:val="0"/>
          <w:numId w:val="1"/>
        </w:numPr>
        <w:jc w:val="both"/>
        <w:rPr>
          <w:u w:val="none"/>
        </w:rPr>
      </w:pPr>
      <w:r>
        <w:rPr>
          <w:u w:val="none"/>
        </w:rPr>
        <w:t>Objekta apskatē tika konstatēts, ka ēkā ir daudz no dēļiem veidotu grāmatplauktu. Lokālās tāmes Nr.1-1 demontāžas apjomos grāmatplauktu nojaukšana nav paredzēta. Vai grāmatplauktu nojaukšana nav jāparedz? Ja jāparedz, tad lūgums grāmatplauktu nojaukšanu iekļaut lokālajās tāmes un dot nojaucamo plauktu apjomu!</w:t>
      </w:r>
    </w:p>
    <w:p w:rsidR="00172CF1" w:rsidRDefault="00172CF1" w:rsidP="00172CF1">
      <w:pPr>
        <w:ind w:left="720"/>
        <w:jc w:val="both"/>
        <w:rPr>
          <w:u w:val="none"/>
        </w:rPr>
      </w:pPr>
      <w:r w:rsidRPr="004E11AF">
        <w:rPr>
          <w:b/>
          <w:u w:val="none"/>
        </w:rPr>
        <w:t>Atbilde</w:t>
      </w:r>
      <w:r>
        <w:rPr>
          <w:u w:val="none"/>
        </w:rPr>
        <w:t xml:space="preserve"> – Grāmatu plaukti ir LBN īpašums. Projektā to demontāža nav paredzēta.</w:t>
      </w:r>
    </w:p>
    <w:p w:rsidR="00172CF1" w:rsidRDefault="00172CF1" w:rsidP="00172CF1">
      <w:pPr>
        <w:pStyle w:val="NormalWeb"/>
        <w:numPr>
          <w:ilvl w:val="0"/>
          <w:numId w:val="1"/>
        </w:numPr>
        <w:jc w:val="both"/>
      </w:pPr>
      <w:r>
        <w:t>Lokālajā tāmē Nr.1-4, pozīcijā Nr.28.5 apjoma mērvienība uzrādīta „m”, bet pēc iepriekšējām pozīcijām spriežot tai būtu jābūt „m</w:t>
      </w:r>
      <w:r>
        <w:rPr>
          <w:vertAlign w:val="superscript"/>
        </w:rPr>
        <w:t>2</w:t>
      </w:r>
      <w:r>
        <w:t>”. Nepieciešams veikt labojumu.</w:t>
      </w:r>
    </w:p>
    <w:p w:rsidR="00172CF1" w:rsidRDefault="00172CF1" w:rsidP="00172CF1">
      <w:pPr>
        <w:pStyle w:val="NormalWeb"/>
        <w:ind w:left="720"/>
        <w:jc w:val="both"/>
      </w:pPr>
      <w:r w:rsidRPr="004E11AF">
        <w:rPr>
          <w:b/>
        </w:rPr>
        <w:t>Atbilde</w:t>
      </w:r>
      <w:r>
        <w:t xml:space="preserve"> – Koriģēts apjomu saraksts, tāme 1-4, p.28.5.</w:t>
      </w:r>
    </w:p>
    <w:p w:rsidR="00172CF1" w:rsidRDefault="00172CF1" w:rsidP="00172CF1">
      <w:pPr>
        <w:pStyle w:val="NormalWeb"/>
        <w:numPr>
          <w:ilvl w:val="0"/>
          <w:numId w:val="1"/>
        </w:numPr>
        <w:jc w:val="both"/>
      </w:pPr>
      <w:r>
        <w:t>Lokālajā tāmē Nr.1-6 pozīcijas Nr.1.2 „Pamatnes betonēšana, betons C12/15 70mm” apjoms uzrādīts 6 m</w:t>
      </w:r>
      <w:r w:rsidRPr="00EF128A">
        <w:rPr>
          <w:vertAlign w:val="superscript"/>
        </w:rPr>
        <w:t>3</w:t>
      </w:r>
      <w:r>
        <w:t>, taču rēķinot pēc dotā laukuma sanāk 412,9x0,07=28,03 m</w:t>
      </w:r>
      <w:r w:rsidRPr="00EF128A">
        <w:rPr>
          <w:vertAlign w:val="superscript"/>
        </w:rPr>
        <w:t>3</w:t>
      </w:r>
      <w:r>
        <w:t>. Nepieciešams veikt labojumu.</w:t>
      </w:r>
    </w:p>
    <w:p w:rsidR="00172CF1" w:rsidRDefault="00172CF1" w:rsidP="00172CF1">
      <w:pPr>
        <w:ind w:left="720"/>
        <w:rPr>
          <w:u w:val="none"/>
        </w:rPr>
      </w:pPr>
      <w:r w:rsidRPr="00EF128A">
        <w:rPr>
          <w:b/>
          <w:u w:val="none"/>
        </w:rPr>
        <w:t>Atbilde</w:t>
      </w:r>
      <w:r>
        <w:rPr>
          <w:u w:val="none"/>
        </w:rPr>
        <w:t xml:space="preserve"> –</w:t>
      </w:r>
      <w:r w:rsidRPr="0049730A">
        <w:rPr>
          <w:u w:val="none"/>
        </w:rPr>
        <w:t xml:space="preserve"> </w:t>
      </w:r>
      <w:r>
        <w:rPr>
          <w:u w:val="none"/>
        </w:rPr>
        <w:t>Koriģēts apjomu saraksts, tāme 1-6, p.1.2.</w:t>
      </w:r>
    </w:p>
    <w:p w:rsidR="00172CF1" w:rsidRDefault="00172CF1" w:rsidP="00172CF1">
      <w:pPr>
        <w:pStyle w:val="NormalWeb"/>
        <w:numPr>
          <w:ilvl w:val="0"/>
          <w:numId w:val="1"/>
        </w:numPr>
        <w:jc w:val="both"/>
      </w:pPr>
      <w:r>
        <w:t>Lokālajā tāmē Nr.1-10 pozīcijā Nr.20.1 paredzēta „Saudzīgi demontēta esošā parketa ieklāšana”. Nepieciešams zināt, cik % no apjoma paredzēt jauna parketa ieklāšanai, jo pieņemam, ka kādu daļu no esošā parketa sliktā stāvokļa dēļ nevarēs izmantot atkārtotai atpakaļ ieklāšanai.</w:t>
      </w:r>
    </w:p>
    <w:p w:rsidR="00172CF1" w:rsidRDefault="00172CF1" w:rsidP="00172CF1">
      <w:pPr>
        <w:ind w:left="720"/>
        <w:rPr>
          <w:u w:val="none"/>
        </w:rPr>
      </w:pPr>
      <w:r w:rsidRPr="00EF128A">
        <w:rPr>
          <w:b/>
          <w:u w:val="none"/>
        </w:rPr>
        <w:t>Atbilde</w:t>
      </w:r>
      <w:r>
        <w:rPr>
          <w:u w:val="none"/>
        </w:rPr>
        <w:t xml:space="preserve"> –</w:t>
      </w:r>
      <w:r w:rsidRPr="00EF128A">
        <w:rPr>
          <w:u w:val="none"/>
        </w:rPr>
        <w:t xml:space="preserve"> </w:t>
      </w:r>
      <w:r>
        <w:rPr>
          <w:u w:val="none"/>
        </w:rPr>
        <w:t>No jauna ieklājamā esošā parketa apjomu skatīt lapā IS-15-1 (tips G2) un apjomu sarakstos tāmē 1-10, p.20.</w:t>
      </w:r>
    </w:p>
    <w:p w:rsidR="00172CF1" w:rsidRDefault="00172CF1" w:rsidP="00172CF1">
      <w:pPr>
        <w:pStyle w:val="NormalWeb"/>
        <w:numPr>
          <w:ilvl w:val="0"/>
          <w:numId w:val="1"/>
        </w:numPr>
        <w:jc w:val="both"/>
      </w:pPr>
      <w:r>
        <w:lastRenderedPageBreak/>
        <w:t>Lokālās tāmes Nr.1-2 pozīcijām Nr.6.1-6.5 visiem esošajiem plastiskajiem dekoriem minēta tikai attīrīšana no sekundāriem krāsu uzslāņojumiem. Vai plastisko dekoru restaurāciju – nostiprināšanu, zudumu un izdrupumu pilnveidošanu, gruntēšanu un krāsošanu – ievērtēt esošajā attiecīgā elementa sadaļas minētajos darbos?</w:t>
      </w:r>
    </w:p>
    <w:p w:rsidR="00172CF1" w:rsidRDefault="00172CF1" w:rsidP="00172CF1">
      <w:pPr>
        <w:ind w:left="720"/>
        <w:rPr>
          <w:u w:val="none"/>
        </w:rPr>
      </w:pPr>
      <w:r w:rsidRPr="00EF128A">
        <w:rPr>
          <w:b/>
          <w:u w:val="none"/>
        </w:rPr>
        <w:t>Atbilde</w:t>
      </w:r>
      <w:r>
        <w:rPr>
          <w:u w:val="none"/>
        </w:rPr>
        <w:t xml:space="preserve"> –</w:t>
      </w:r>
      <w:r w:rsidRPr="00EF128A">
        <w:rPr>
          <w:u w:val="none"/>
        </w:rPr>
        <w:t xml:space="preserve"> </w:t>
      </w:r>
      <w:r>
        <w:rPr>
          <w:u w:val="none"/>
        </w:rPr>
        <w:t xml:space="preserve">Tāmēs ievērtēt lapās AR-R-29...33 minētās prasības </w:t>
      </w:r>
      <w:proofErr w:type="spellStart"/>
      <w:r>
        <w:rPr>
          <w:u w:val="none"/>
        </w:rPr>
        <w:t>t.sk</w:t>
      </w:r>
      <w:proofErr w:type="spellEnd"/>
      <w:r>
        <w:rPr>
          <w:u w:val="none"/>
        </w:rPr>
        <w:t>. piezīmes p.2 un 3.</w:t>
      </w:r>
    </w:p>
    <w:p w:rsidR="00172CF1" w:rsidRDefault="00172CF1" w:rsidP="00172CF1">
      <w:pPr>
        <w:pStyle w:val="NormalWeb"/>
        <w:numPr>
          <w:ilvl w:val="0"/>
          <w:numId w:val="1"/>
        </w:numPr>
        <w:jc w:val="both"/>
      </w:pPr>
      <w:r>
        <w:t xml:space="preserve">Veicot apskati un izvērtējot krāsu uzslāņojumu biezumu un veidus, ieteiktu veikt sienām attīrīšanas darbus. Tik biezs slānis ar pēdējo periodu remontdarbu laikā pielietotajiem sintētiskajiem un </w:t>
      </w:r>
      <w:proofErr w:type="spellStart"/>
      <w:r>
        <w:t>orģinālam</w:t>
      </w:r>
      <w:proofErr w:type="spellEnd"/>
      <w:r>
        <w:t xml:space="preserve"> neatbilstošiem materiāliem perspektīvā varētu provocēt apdares kārtu atslāņošanos (apmetumam nav nodrošināta gaisa caurlaidība). Vai ievērtēt KT sienu attīrīšanu no uzslāņojumiem pie attiecīgās telpu apdares darbiem?</w:t>
      </w:r>
    </w:p>
    <w:p w:rsidR="00172CF1" w:rsidRPr="00EF128A" w:rsidRDefault="00172CF1" w:rsidP="00172CF1">
      <w:pPr>
        <w:ind w:left="720"/>
        <w:rPr>
          <w:u w:val="none"/>
        </w:rPr>
      </w:pPr>
      <w:r w:rsidRPr="00EF128A">
        <w:rPr>
          <w:b/>
          <w:u w:val="none"/>
        </w:rPr>
        <w:t>Atbilde</w:t>
      </w:r>
      <w:r>
        <w:rPr>
          <w:u w:val="none"/>
        </w:rPr>
        <w:t xml:space="preserve"> –</w:t>
      </w:r>
      <w:r w:rsidRPr="00EF4216">
        <w:rPr>
          <w:u w:val="none"/>
        </w:rPr>
        <w:t xml:space="preserve"> </w:t>
      </w:r>
      <w:r>
        <w:rPr>
          <w:u w:val="none"/>
        </w:rPr>
        <w:t>Esošo krāsojuma slāņu attīrīšanu paredzēt apjomu sarakstos, tāmē 1-10. p.7.1.</w:t>
      </w:r>
    </w:p>
    <w:p w:rsidR="00172CF1" w:rsidRDefault="00172CF1" w:rsidP="00172CF1">
      <w:pPr>
        <w:pStyle w:val="NormalWeb"/>
        <w:numPr>
          <w:ilvl w:val="0"/>
          <w:numId w:val="1"/>
        </w:numPr>
        <w:jc w:val="both"/>
      </w:pPr>
      <w:r>
        <w:t xml:space="preserve">Lokālajā tāmē Nr.1-10 minētas </w:t>
      </w:r>
      <w:proofErr w:type="spellStart"/>
      <w:r>
        <w:t>diva</w:t>
      </w:r>
      <w:proofErr w:type="spellEnd"/>
      <w:r>
        <w:t xml:space="preserve"> veida koka grīdlīstes:</w:t>
      </w:r>
    </w:p>
    <w:p w:rsidR="00172CF1" w:rsidRDefault="00172CF1" w:rsidP="00172CF1">
      <w:pPr>
        <w:pStyle w:val="NormalWeb"/>
        <w:numPr>
          <w:ilvl w:val="1"/>
          <w:numId w:val="1"/>
        </w:numPr>
        <w:jc w:val="both"/>
      </w:pPr>
      <w:r>
        <w:t>29.1 pozīcija „Profilēta ozolkoka grīdlīste (h=60mm, 25mm) analoga esošajām, slīpēta, eļļota 308,4m”;</w:t>
      </w:r>
    </w:p>
    <w:p w:rsidR="00172CF1" w:rsidRDefault="00172CF1" w:rsidP="00172CF1">
      <w:pPr>
        <w:pStyle w:val="NormalWeb"/>
        <w:numPr>
          <w:ilvl w:val="1"/>
          <w:numId w:val="1"/>
        </w:numPr>
        <w:jc w:val="both"/>
      </w:pPr>
      <w:r>
        <w:t>30.1 pozīcija „Koka grīdlīste (h=70mm) špaktelēta, slīpēta, gruntēta, krāsota 775,1m”.</w:t>
      </w:r>
    </w:p>
    <w:p w:rsidR="00172CF1" w:rsidRDefault="00172CF1" w:rsidP="00172CF1">
      <w:pPr>
        <w:spacing w:before="100" w:beforeAutospacing="1" w:after="100" w:afterAutospacing="1"/>
        <w:ind w:left="720"/>
        <w:jc w:val="both"/>
        <w:rPr>
          <w:u w:val="none"/>
        </w:rPr>
      </w:pPr>
      <w:r>
        <w:rPr>
          <w:u w:val="none"/>
        </w:rPr>
        <w:t>Telpu apdares tabulā Nr.</w:t>
      </w:r>
      <w:r w:rsidRPr="00F347B9">
        <w:rPr>
          <w:u w:val="none"/>
        </w:rPr>
        <w:t>29.1 pozīcijā minētās grīd</w:t>
      </w:r>
      <w:r>
        <w:rPr>
          <w:u w:val="none"/>
        </w:rPr>
        <w:t>līstes (G11) neparādās, bet Nr.</w:t>
      </w:r>
      <w:r w:rsidRPr="00F347B9">
        <w:rPr>
          <w:u w:val="none"/>
        </w:rPr>
        <w:t>30.1 pozīcijā minētajām grīdlīstēm (G12) nesakrīt apjoms (pēc apdares tabulas – 870,5m). Nepieciešams precizēt.</w:t>
      </w:r>
    </w:p>
    <w:p w:rsidR="00172CF1" w:rsidRDefault="00172CF1" w:rsidP="00172CF1">
      <w:pPr>
        <w:ind w:left="720"/>
        <w:jc w:val="both"/>
        <w:rPr>
          <w:u w:val="none"/>
        </w:rPr>
      </w:pPr>
      <w:r w:rsidRPr="00EF128A">
        <w:rPr>
          <w:b/>
          <w:u w:val="none"/>
        </w:rPr>
        <w:t>Atbilde</w:t>
      </w:r>
      <w:r>
        <w:rPr>
          <w:u w:val="none"/>
        </w:rPr>
        <w:t xml:space="preserve"> – </w:t>
      </w:r>
      <w:r w:rsidRPr="006A7ECD">
        <w:rPr>
          <w:u w:val="none"/>
        </w:rPr>
        <w:t xml:space="preserve">Koriģēts G12 tips apjomu sarakstā, tāmē 1-10, p.30.1. G11 tips izņemts no tāmes 1-10, jo grīdlīstes restaurācijas apjomi paredzēti restaurācijas </w:t>
      </w:r>
      <w:r>
        <w:rPr>
          <w:u w:val="none"/>
        </w:rPr>
        <w:t>sa</w:t>
      </w:r>
      <w:r w:rsidRPr="006A7ECD">
        <w:rPr>
          <w:u w:val="none"/>
        </w:rPr>
        <w:t>daļā, skatīt lapas AR-R-29...3</w:t>
      </w:r>
      <w:r>
        <w:rPr>
          <w:u w:val="none"/>
        </w:rPr>
        <w:t>3.</w:t>
      </w:r>
    </w:p>
    <w:p w:rsidR="00172CF1" w:rsidRDefault="00172CF1" w:rsidP="00172CF1">
      <w:pPr>
        <w:pStyle w:val="NormalWeb"/>
        <w:numPr>
          <w:ilvl w:val="0"/>
          <w:numId w:val="1"/>
        </w:numPr>
        <w:jc w:val="both"/>
      </w:pPr>
      <w:r>
        <w:t>Lokālajā tāmē Nr.1-10 pozīcijā Nr.33.1 flīžu materiāla apjomam nav ievērtēts patēriņa koeficients (k=1.08), kā tas ir citās pozīcijās. Nepieciešams precizēt.</w:t>
      </w:r>
    </w:p>
    <w:p w:rsidR="00172CF1" w:rsidRPr="00EF128A" w:rsidRDefault="00172CF1" w:rsidP="00172CF1">
      <w:pPr>
        <w:ind w:left="720"/>
        <w:rPr>
          <w:u w:val="none"/>
        </w:rPr>
      </w:pPr>
      <w:r w:rsidRPr="00EF128A">
        <w:rPr>
          <w:b/>
          <w:u w:val="none"/>
        </w:rPr>
        <w:t>Atbilde</w:t>
      </w:r>
      <w:r>
        <w:rPr>
          <w:u w:val="none"/>
        </w:rPr>
        <w:t xml:space="preserve"> –</w:t>
      </w:r>
      <w:r w:rsidRPr="00EF4216">
        <w:rPr>
          <w:u w:val="none"/>
        </w:rPr>
        <w:t xml:space="preserve"> </w:t>
      </w:r>
      <w:r>
        <w:rPr>
          <w:u w:val="none"/>
        </w:rPr>
        <w:t>Koriģēts apjomu saraksts, tāme 1-10, p.1.10.</w:t>
      </w:r>
    </w:p>
    <w:p w:rsidR="00172CF1" w:rsidRDefault="00172CF1" w:rsidP="00172CF1">
      <w:pPr>
        <w:numPr>
          <w:ilvl w:val="0"/>
          <w:numId w:val="1"/>
        </w:numPr>
        <w:spacing w:before="100" w:beforeAutospacing="1" w:after="100" w:afterAutospacing="1"/>
        <w:jc w:val="both"/>
        <w:rPr>
          <w:u w:val="none"/>
          <w:lang w:eastAsia="lv-LV"/>
        </w:rPr>
      </w:pPr>
      <w:r>
        <w:rPr>
          <w:u w:val="none"/>
          <w:lang w:eastAsia="lv-LV"/>
        </w:rPr>
        <w:t>Lūgums dot kontaktinformāciju</w:t>
      </w:r>
      <w:r w:rsidRPr="00D94C00">
        <w:rPr>
          <w:u w:val="none"/>
          <w:lang w:eastAsia="lv-LV"/>
        </w:rPr>
        <w:t xml:space="preserve"> siltināšanas sistēma</w:t>
      </w:r>
      <w:r>
        <w:rPr>
          <w:u w:val="none"/>
          <w:lang w:eastAsia="lv-LV"/>
        </w:rPr>
        <w:t>i –</w:t>
      </w:r>
      <w:r w:rsidRPr="00D94C00">
        <w:rPr>
          <w:u w:val="none"/>
          <w:lang w:eastAsia="lv-LV"/>
        </w:rPr>
        <w:t xml:space="preserve"> perlīta plāksne STO </w:t>
      </w:r>
      <w:proofErr w:type="spellStart"/>
      <w:r w:rsidRPr="00D94C00">
        <w:rPr>
          <w:u w:val="none"/>
          <w:lang w:eastAsia="lv-LV"/>
        </w:rPr>
        <w:t>Therm</w:t>
      </w:r>
      <w:proofErr w:type="spellEnd"/>
      <w:r w:rsidRPr="00D94C00">
        <w:rPr>
          <w:u w:val="none"/>
          <w:lang w:eastAsia="lv-LV"/>
        </w:rPr>
        <w:t xml:space="preserve"> </w:t>
      </w:r>
      <w:proofErr w:type="spellStart"/>
      <w:r w:rsidRPr="00D94C00">
        <w:rPr>
          <w:u w:val="none"/>
          <w:lang w:eastAsia="lv-LV"/>
        </w:rPr>
        <w:t>in</w:t>
      </w:r>
      <w:proofErr w:type="spellEnd"/>
      <w:r w:rsidRPr="00D94C00">
        <w:rPr>
          <w:u w:val="none"/>
          <w:lang w:eastAsia="lv-LV"/>
        </w:rPr>
        <w:t xml:space="preserve"> </w:t>
      </w:r>
      <w:proofErr w:type="spellStart"/>
      <w:r w:rsidRPr="00D94C00">
        <w:rPr>
          <w:u w:val="none"/>
          <w:lang w:eastAsia="lv-LV"/>
        </w:rPr>
        <w:t>Comfort</w:t>
      </w:r>
      <w:proofErr w:type="spellEnd"/>
      <w:r>
        <w:rPr>
          <w:u w:val="none"/>
          <w:lang w:eastAsia="lv-LV"/>
        </w:rPr>
        <w:t xml:space="preserve"> izplatītājam Latvijā vai ārzemēs!</w:t>
      </w:r>
    </w:p>
    <w:p w:rsidR="00172CF1" w:rsidRDefault="00172CF1" w:rsidP="00172CF1">
      <w:pPr>
        <w:pStyle w:val="ListParagraph"/>
        <w:jc w:val="both"/>
        <w:rPr>
          <w:u w:val="none"/>
        </w:rPr>
      </w:pPr>
      <w:r w:rsidRPr="00EF128A">
        <w:rPr>
          <w:b/>
          <w:u w:val="none"/>
        </w:rPr>
        <w:t xml:space="preserve">Atbilde </w:t>
      </w:r>
      <w:r w:rsidRPr="00EF128A">
        <w:rPr>
          <w:u w:val="none"/>
        </w:rPr>
        <w:t xml:space="preserve">– </w:t>
      </w:r>
      <w:r>
        <w:rPr>
          <w:u w:val="none"/>
        </w:rPr>
        <w:t>I</w:t>
      </w:r>
      <w:r w:rsidRPr="00EF128A">
        <w:rPr>
          <w:u w:val="none"/>
        </w:rPr>
        <w:t>nformācija ir publiski brīvi pieejama, piemēram, internetā.</w:t>
      </w:r>
    </w:p>
    <w:p w:rsidR="00172CF1" w:rsidRDefault="00172CF1"/>
    <w:p w:rsidR="00172CF1" w:rsidRDefault="00172CF1"/>
    <w:p w:rsidR="00172CF1" w:rsidRDefault="00172CF1" w:rsidP="00172CF1">
      <w:pPr>
        <w:ind w:firstLine="720"/>
        <w:jc w:val="both"/>
        <w:rPr>
          <w:b/>
          <w:u w:val="none"/>
        </w:rPr>
      </w:pPr>
      <w:r>
        <w:rPr>
          <w:b/>
          <w:u w:val="none"/>
        </w:rPr>
        <w:t xml:space="preserve">28.01.2014. – </w:t>
      </w:r>
      <w:r>
        <w:rPr>
          <w:b/>
          <w:u w:val="none"/>
        </w:rPr>
        <w:t>2</w:t>
      </w:r>
      <w:r>
        <w:rPr>
          <w:b/>
          <w:u w:val="none"/>
        </w:rPr>
        <w:t xml:space="preserve">.daļa </w:t>
      </w:r>
    </w:p>
    <w:p w:rsidR="00172CF1" w:rsidRDefault="00172CF1"/>
    <w:p w:rsidR="00172CF1" w:rsidRPr="00172CF1" w:rsidRDefault="00172CF1" w:rsidP="00172CF1">
      <w:pPr>
        <w:ind w:firstLine="720"/>
        <w:jc w:val="both"/>
        <w:rPr>
          <w:u w:val="none"/>
        </w:rPr>
      </w:pPr>
      <w:r w:rsidRPr="00172CF1">
        <w:rPr>
          <w:u w:val="none"/>
        </w:rPr>
        <w:t xml:space="preserve">Lūdzam </w:t>
      </w:r>
      <w:r>
        <w:rPr>
          <w:u w:val="none"/>
        </w:rPr>
        <w:t>precizēt, kāds apjoms ir jāparedz azbesta utilizācijai, kas ir izmantots cauruļu izolācijai?</w:t>
      </w:r>
    </w:p>
    <w:p w:rsidR="00172CF1" w:rsidRDefault="00172CF1" w:rsidP="00172CF1">
      <w:pPr>
        <w:ind w:firstLine="720"/>
        <w:jc w:val="both"/>
        <w:rPr>
          <w:b/>
          <w:u w:val="none"/>
        </w:rPr>
      </w:pPr>
    </w:p>
    <w:p w:rsidR="00172CF1" w:rsidRPr="00172CF1" w:rsidRDefault="00172CF1" w:rsidP="00172CF1">
      <w:pPr>
        <w:ind w:firstLine="720"/>
        <w:jc w:val="both"/>
        <w:rPr>
          <w:u w:val="none"/>
        </w:rPr>
      </w:pPr>
      <w:r w:rsidRPr="00EF128A">
        <w:rPr>
          <w:b/>
          <w:u w:val="none"/>
        </w:rPr>
        <w:t xml:space="preserve">Atbilde </w:t>
      </w:r>
      <w:r w:rsidRPr="00EF128A">
        <w:rPr>
          <w:u w:val="none"/>
        </w:rPr>
        <w:t>–</w:t>
      </w:r>
      <w:r>
        <w:rPr>
          <w:u w:val="none"/>
        </w:rPr>
        <w:t xml:space="preserve"> U</w:t>
      </w:r>
      <w:bookmarkStart w:id="0" w:name="_GoBack"/>
      <w:bookmarkEnd w:id="0"/>
      <w:r w:rsidRPr="00172CF1">
        <w:rPr>
          <w:u w:val="none"/>
        </w:rPr>
        <w:t>tilizācijai ir paredzēti 1,75m</w:t>
      </w:r>
      <w:r w:rsidRPr="00172CF1">
        <w:rPr>
          <w:u w:val="none"/>
          <w:vertAlign w:val="superscript"/>
        </w:rPr>
        <w:t xml:space="preserve">3 </w:t>
      </w:r>
      <w:r w:rsidRPr="00172CF1">
        <w:rPr>
          <w:u w:val="none"/>
        </w:rPr>
        <w:t>cauruļu</w:t>
      </w:r>
      <w:r w:rsidRPr="00172CF1">
        <w:rPr>
          <w:u w:val="none"/>
          <w:vertAlign w:val="superscript"/>
        </w:rPr>
        <w:t xml:space="preserve"> </w:t>
      </w:r>
      <w:r w:rsidRPr="00172CF1">
        <w:rPr>
          <w:u w:val="none"/>
        </w:rPr>
        <w:t>azbesta izolācijas.</w:t>
      </w:r>
    </w:p>
    <w:sectPr w:rsidR="00172CF1" w:rsidRPr="00172C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D14D5"/>
    <w:multiLevelType w:val="hybridMultilevel"/>
    <w:tmpl w:val="9E9E7BD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F1"/>
    <w:rsid w:val="00172CF1"/>
    <w:rsid w:val="003D4ED5"/>
    <w:rsid w:val="00D1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72CF1"/>
    <w:pPr>
      <w:spacing w:before="100" w:beforeAutospacing="1" w:after="100" w:afterAutospacing="1"/>
    </w:pPr>
    <w:rPr>
      <w:u w:val="none"/>
      <w:lang w:eastAsia="lv-LV"/>
    </w:rPr>
  </w:style>
  <w:style w:type="paragraph" w:styleId="ListParagraph">
    <w:name w:val="List Paragraph"/>
    <w:basedOn w:val="Normal"/>
    <w:uiPriority w:val="34"/>
    <w:qFormat/>
    <w:rsid w:val="00172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72CF1"/>
    <w:pPr>
      <w:spacing w:before="100" w:beforeAutospacing="1" w:after="100" w:afterAutospacing="1"/>
    </w:pPr>
    <w:rPr>
      <w:u w:val="none"/>
      <w:lang w:eastAsia="lv-LV"/>
    </w:rPr>
  </w:style>
  <w:style w:type="paragraph" w:styleId="ListParagraph">
    <w:name w:val="List Paragraph"/>
    <w:basedOn w:val="Normal"/>
    <w:uiPriority w:val="34"/>
    <w:qFormat/>
    <w:rsid w:val="00172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4033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B-327</dc:creator>
  <cp:keywords/>
  <dc:description/>
  <cp:lastModifiedBy> B-327</cp:lastModifiedBy>
  <cp:revision>1</cp:revision>
  <dcterms:created xsi:type="dcterms:W3CDTF">2014-01-29T08:28:00Z</dcterms:created>
  <dcterms:modified xsi:type="dcterms:W3CDTF">2014-01-29T08:35:00Z</dcterms:modified>
</cp:coreProperties>
</file>