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BD" w:rsidRDefault="00A113BD" w:rsidP="00A113BD">
      <w:pPr>
        <w:ind w:firstLine="720"/>
        <w:jc w:val="both"/>
        <w:rPr>
          <w:b/>
          <w:u w:val="none"/>
        </w:rPr>
      </w:pPr>
      <w:r>
        <w:rPr>
          <w:b/>
          <w:u w:val="none"/>
        </w:rPr>
        <w:t>2</w:t>
      </w:r>
      <w:r>
        <w:rPr>
          <w:b/>
          <w:u w:val="none"/>
        </w:rPr>
        <w:t>7</w:t>
      </w:r>
      <w:r>
        <w:rPr>
          <w:b/>
          <w:u w:val="none"/>
        </w:rPr>
        <w:t xml:space="preserve">.01.2014. </w:t>
      </w:r>
    </w:p>
    <w:p w:rsidR="00A113BD" w:rsidRDefault="00A113BD" w:rsidP="00A113BD">
      <w:pPr>
        <w:ind w:firstLine="720"/>
        <w:jc w:val="both"/>
        <w:rPr>
          <w:b/>
        </w:rPr>
      </w:pPr>
    </w:p>
    <w:p w:rsidR="00A113BD" w:rsidRDefault="00A113BD" w:rsidP="00A113BD">
      <w:pPr>
        <w:pStyle w:val="ListParagraph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Iepirkuma komisija ir sagatavojusi atbildes uz ieinteresētā piegādātāja uzdotajiem jautājumiem. Turpmāk tekstā iesniegtie jautājumi un sniegtās atbildes:</w:t>
      </w:r>
    </w:p>
    <w:p w:rsidR="00A113BD" w:rsidRDefault="00A113BD" w:rsidP="00A113BD">
      <w:pPr>
        <w:numPr>
          <w:ilvl w:val="0"/>
          <w:numId w:val="1"/>
        </w:numPr>
        <w:rPr>
          <w:u w:val="none"/>
        </w:rPr>
      </w:pPr>
      <w:r w:rsidRPr="00EB1EE7">
        <w:rPr>
          <w:u w:val="none"/>
        </w:rPr>
        <w:t>Trūkst projekta lapa IN-3-6</w:t>
      </w:r>
      <w:r>
        <w:rPr>
          <w:u w:val="none"/>
        </w:rPr>
        <w:t>. Lūgums izsniegt!</w:t>
      </w:r>
    </w:p>
    <w:p w:rsidR="00A113BD" w:rsidRDefault="00A113BD" w:rsidP="00A113BD">
      <w:pPr>
        <w:ind w:left="720"/>
        <w:rPr>
          <w:u w:val="none"/>
        </w:rPr>
      </w:pPr>
      <w:r w:rsidRPr="005F4EBE">
        <w:rPr>
          <w:b/>
          <w:u w:val="none"/>
        </w:rPr>
        <w:t>Atbilde</w:t>
      </w:r>
      <w:r w:rsidRPr="005F4EBE">
        <w:rPr>
          <w:u w:val="none"/>
        </w:rPr>
        <w:t xml:space="preserve"> </w:t>
      </w:r>
      <w:r>
        <w:rPr>
          <w:u w:val="none"/>
        </w:rPr>
        <w:t>–</w:t>
      </w:r>
      <w:r w:rsidRPr="005F4EBE">
        <w:rPr>
          <w:u w:val="none"/>
        </w:rPr>
        <w:t xml:space="preserve"> Trūkstošā lapa pievienota.</w:t>
      </w:r>
    </w:p>
    <w:p w:rsidR="00A113BD" w:rsidRPr="005F4EBE" w:rsidRDefault="00A113BD" w:rsidP="00A113BD">
      <w:pPr>
        <w:ind w:left="720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Projekta ietvaros atšķiras darbu apjomi griestu tipam C3. Telpu apdares darbu tabulās lapā IS-15-1 stāvu plānā uz atzīmes +6,14 dots C3 89,9 m2, bet lapā IN-3-4 griestu apdares tips C3 dots 86,9 m2. Lūgums pārbaudīt un dot pareizo variantu, ja nepieciešams koriģējot arī tāmju formas!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>Atbilde</w:t>
      </w:r>
      <w:r>
        <w:rPr>
          <w:u w:val="none"/>
        </w:rPr>
        <w:t xml:space="preserve"> – </w:t>
      </w:r>
      <w:r w:rsidRPr="005F4EBE">
        <w:rPr>
          <w:u w:val="none"/>
        </w:rPr>
        <w:t>Lapā IS-15-1 un apjomu sarakstos griestu tipa C3 norādītais apjoms ir korekts. Iesniegta lapa IN-3-4i1.</w:t>
      </w:r>
    </w:p>
    <w:p w:rsidR="00A113BD" w:rsidRPr="005F4EBE" w:rsidRDefault="00A113BD" w:rsidP="00A113BD">
      <w:pPr>
        <w:ind w:left="720"/>
        <w:jc w:val="both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 xml:space="preserve">Lokālajā tāmē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>. 1-7 nav iekļauta l</w:t>
      </w:r>
      <w:r w:rsidRPr="001C224A">
        <w:rPr>
          <w:u w:val="none"/>
        </w:rPr>
        <w:t>ogu L319, L320 izbūve (saskaņā ar specifikāciju un rasējumiem, AR-R-09)</w:t>
      </w:r>
      <w:r>
        <w:rPr>
          <w:u w:val="none"/>
        </w:rPr>
        <w:t xml:space="preserve">. Lūgums pārbaudīt un papildināt tāmju formas un nepieciešamības gadījumā koriģēt arī </w:t>
      </w:r>
      <w:proofErr w:type="spellStart"/>
      <w:r>
        <w:rPr>
          <w:u w:val="none"/>
        </w:rPr>
        <w:t>poz</w:t>
      </w:r>
      <w:proofErr w:type="spellEnd"/>
      <w:r>
        <w:rPr>
          <w:u w:val="none"/>
        </w:rPr>
        <w:t>. 1.36 doto palodžu apjomu!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>Atbilde</w:t>
      </w:r>
      <w:r>
        <w:rPr>
          <w:u w:val="none"/>
        </w:rPr>
        <w:t xml:space="preserve"> – </w:t>
      </w:r>
      <w:r w:rsidRPr="005F4EBE">
        <w:rPr>
          <w:u w:val="none"/>
        </w:rPr>
        <w:t>Lapā AR-R-09 norādīts, ka logu L319 un L320 vietā tiek izbūvēts jauns logs, kurš specificēts lapā IS-7-1.</w:t>
      </w:r>
    </w:p>
    <w:p w:rsidR="00A113BD" w:rsidRPr="005F4EBE" w:rsidRDefault="00A113BD" w:rsidP="00A113BD">
      <w:pPr>
        <w:ind w:left="720"/>
        <w:jc w:val="both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 xml:space="preserve">Lokālajā tāme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 xml:space="preserve">. 1-1 pozīcijā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 xml:space="preserve">. 3.6 dots durvju demontāža 1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 xml:space="preserve">., bet projekta lapā IS-2-1 uz atzīmes 0,000 dotas 10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>. demontējamas durvis. Lūgums pārbaudīt un izdarīt korekcijas!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 xml:space="preserve">Atbilde </w:t>
      </w:r>
      <w:r>
        <w:rPr>
          <w:u w:val="none"/>
        </w:rPr>
        <w:t xml:space="preserve">– </w:t>
      </w:r>
      <w:r w:rsidRPr="005F4EBE">
        <w:rPr>
          <w:u w:val="none"/>
        </w:rPr>
        <w:t>Koriģ</w:t>
      </w:r>
      <w:r>
        <w:rPr>
          <w:u w:val="none"/>
        </w:rPr>
        <w:t>ē</w:t>
      </w:r>
      <w:r w:rsidRPr="005F4EBE">
        <w:rPr>
          <w:u w:val="none"/>
        </w:rPr>
        <w:t>ti apjomu saraksti tāmē 1-1 p.3.</w:t>
      </w:r>
      <w:r>
        <w:rPr>
          <w:u w:val="none"/>
        </w:rPr>
        <w:t>6</w:t>
      </w:r>
      <w:r w:rsidRPr="005F4EBE">
        <w:rPr>
          <w:u w:val="none"/>
        </w:rPr>
        <w:t>.</w:t>
      </w:r>
    </w:p>
    <w:p w:rsidR="00A113BD" w:rsidRPr="005F4EBE" w:rsidRDefault="00A113BD" w:rsidP="00A113BD">
      <w:pPr>
        <w:ind w:left="720"/>
        <w:jc w:val="both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 xml:space="preserve">Lokālajā tāme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 xml:space="preserve">. 1-1 pozīcijā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>. 4.9 dots 18,6 m d</w:t>
      </w:r>
      <w:r w:rsidRPr="0061018D">
        <w:rPr>
          <w:u w:val="none"/>
        </w:rPr>
        <w:t>emontējamas griestu dekoratīvās ieloces</w:t>
      </w:r>
      <w:r>
        <w:rPr>
          <w:u w:val="none"/>
        </w:rPr>
        <w:t>, bet lapā IS-2-1 uz atzīmes +3,070 dotas 19,2 m d</w:t>
      </w:r>
      <w:r w:rsidRPr="0061018D">
        <w:rPr>
          <w:u w:val="none"/>
        </w:rPr>
        <w:t>emontējamas griestu dekoratīvās ieloces</w:t>
      </w:r>
      <w:r>
        <w:rPr>
          <w:u w:val="none"/>
        </w:rPr>
        <w:t>. Lūgums pārbaudīt un izdarīt korekcijas!</w:t>
      </w:r>
    </w:p>
    <w:p w:rsidR="00A113BD" w:rsidRPr="005F4EBE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>Atbilde</w:t>
      </w:r>
      <w:r>
        <w:rPr>
          <w:u w:val="none"/>
        </w:rPr>
        <w:t xml:space="preserve"> – </w:t>
      </w:r>
      <w:r w:rsidRPr="005F4EBE">
        <w:rPr>
          <w:u w:val="none"/>
        </w:rPr>
        <w:t>Koriģ</w:t>
      </w:r>
      <w:r>
        <w:rPr>
          <w:u w:val="none"/>
        </w:rPr>
        <w:t>ē</w:t>
      </w:r>
      <w:r w:rsidRPr="005F4EBE">
        <w:rPr>
          <w:u w:val="none"/>
        </w:rPr>
        <w:t>ti apjomu saraksti tāmē 1-1 p.4.9.</w:t>
      </w: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 xml:space="preserve">Lokālajā tāme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 xml:space="preserve">. 1-1 pozīcijā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>. 6.8 dots 19,2 m d</w:t>
      </w:r>
      <w:r w:rsidRPr="0061018D">
        <w:rPr>
          <w:u w:val="none"/>
        </w:rPr>
        <w:t>emontējamas griestu dekoratīvās ieloces</w:t>
      </w:r>
      <w:r>
        <w:rPr>
          <w:u w:val="none"/>
        </w:rPr>
        <w:t>, bet lapā IS-2-1 uz atzīmes +9,000 dotas 20 m d</w:t>
      </w:r>
      <w:r w:rsidRPr="0061018D">
        <w:rPr>
          <w:u w:val="none"/>
        </w:rPr>
        <w:t>emontējamas griestu dekoratīvās ieloces</w:t>
      </w:r>
      <w:r>
        <w:rPr>
          <w:u w:val="none"/>
        </w:rPr>
        <w:t>. Lūgums pārbaudīt un izdarīt korekcijas!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>Atbilde</w:t>
      </w:r>
      <w:r>
        <w:rPr>
          <w:u w:val="none"/>
        </w:rPr>
        <w:t xml:space="preserve"> – </w:t>
      </w:r>
      <w:r w:rsidRPr="005F4EBE">
        <w:rPr>
          <w:u w:val="none"/>
        </w:rPr>
        <w:t>Koriģ</w:t>
      </w:r>
      <w:r>
        <w:rPr>
          <w:u w:val="none"/>
        </w:rPr>
        <w:t>ē</w:t>
      </w:r>
      <w:r w:rsidRPr="005F4EBE">
        <w:rPr>
          <w:u w:val="none"/>
        </w:rPr>
        <w:t>ti apjomu saraksti tāmē 1-1 p.6.8.</w:t>
      </w:r>
    </w:p>
    <w:p w:rsidR="00A113BD" w:rsidRPr="005A324A" w:rsidRDefault="00A113BD" w:rsidP="00A113BD">
      <w:pPr>
        <w:ind w:left="720"/>
        <w:jc w:val="both"/>
        <w:rPr>
          <w:b/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 xml:space="preserve">Projekta lapā IS-2-1 uz atzīmes 14,650 dots demontējamais pārsegums 1,1 m3, bet tāmes formās tas nav paredzēts. Lūgums pārbaudīt un papildināt demontāžas darbu tāmi ar pārseguma demontāžu! Lūgums izdarīt korekcijas attiecīgi arī pozīcijās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>. 9.1 un 9.2!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>Atbilde</w:t>
      </w:r>
      <w:r>
        <w:rPr>
          <w:u w:val="none"/>
        </w:rPr>
        <w:t xml:space="preserve"> – </w:t>
      </w:r>
      <w:r w:rsidRPr="005F4EBE">
        <w:rPr>
          <w:u w:val="none"/>
        </w:rPr>
        <w:t>Koriģ</w:t>
      </w:r>
      <w:r>
        <w:rPr>
          <w:u w:val="none"/>
        </w:rPr>
        <w:t>ē</w:t>
      </w:r>
      <w:r w:rsidRPr="005F4EBE">
        <w:rPr>
          <w:u w:val="none"/>
        </w:rPr>
        <w:t>ti apjomu saraksti tāmē 1-1 p.8.3. un 9.1.</w:t>
      </w:r>
    </w:p>
    <w:p w:rsidR="00A113BD" w:rsidRPr="005F4EBE" w:rsidRDefault="00A113BD" w:rsidP="00A113BD">
      <w:pPr>
        <w:ind w:left="720"/>
        <w:jc w:val="both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Lokālajā tāme Nr.1-3 pozīcijā Nr.23.1 dots 9,2 m3 betona, bet projekta lapā BK-55</w:t>
      </w:r>
      <w:r w:rsidRPr="00B756C0">
        <w:rPr>
          <w:u w:val="none"/>
        </w:rPr>
        <w:t xml:space="preserve"> </w:t>
      </w:r>
      <w:r>
        <w:rPr>
          <w:u w:val="none"/>
        </w:rPr>
        <w:t>attiecīgā pozīcijā dots 9,82 m3 betona. Lūgums pārbaudīt un izdarīt korekcijas!</w:t>
      </w:r>
    </w:p>
    <w:p w:rsidR="00A113BD" w:rsidRDefault="00A113BD" w:rsidP="00A113BD">
      <w:pPr>
        <w:ind w:left="360" w:firstLine="360"/>
        <w:jc w:val="both"/>
        <w:rPr>
          <w:u w:val="none"/>
        </w:rPr>
      </w:pPr>
      <w:r w:rsidRPr="005F4EBE">
        <w:rPr>
          <w:b/>
          <w:u w:val="none"/>
        </w:rPr>
        <w:t>Atbilde</w:t>
      </w:r>
      <w:r>
        <w:rPr>
          <w:u w:val="none"/>
        </w:rPr>
        <w:t xml:space="preserve"> – </w:t>
      </w:r>
      <w:r w:rsidRPr="005F4EBE">
        <w:rPr>
          <w:u w:val="none"/>
        </w:rPr>
        <w:t>Koriģ</w:t>
      </w:r>
      <w:r>
        <w:rPr>
          <w:u w:val="none"/>
        </w:rPr>
        <w:t>ē</w:t>
      </w:r>
      <w:r w:rsidRPr="005F4EBE">
        <w:rPr>
          <w:u w:val="none"/>
        </w:rPr>
        <w:t>ti apjomu saraksti tāmē 1-3 p.23.1</w:t>
      </w:r>
    </w:p>
    <w:p w:rsidR="00A113BD" w:rsidRPr="005F4EBE" w:rsidRDefault="00A113BD" w:rsidP="00A113BD">
      <w:pPr>
        <w:ind w:left="360" w:firstLine="360"/>
        <w:jc w:val="both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lastRenderedPageBreak/>
        <w:t xml:space="preserve">Lokālajā tāme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 xml:space="preserve">. 1-3 pozīcijā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>. 23.3 dots 1250 kg, bet projekta lapā BK-55</w:t>
      </w:r>
      <w:r w:rsidRPr="00B756C0">
        <w:rPr>
          <w:u w:val="none"/>
        </w:rPr>
        <w:t xml:space="preserve"> </w:t>
      </w:r>
      <w:r>
        <w:rPr>
          <w:u w:val="none"/>
        </w:rPr>
        <w:t>attiecīgā pozīcijā dots 1360 kg. Lūgums pārbaudīt un izdarīt korekcijas!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>Atbilde</w:t>
      </w:r>
      <w:r>
        <w:rPr>
          <w:u w:val="none"/>
        </w:rPr>
        <w:t xml:space="preserve"> – skatīt koriģēto apjomu sarakstu (24.01.14.), Tāme 1-3, p.23.3.</w:t>
      </w:r>
    </w:p>
    <w:p w:rsidR="00A113BD" w:rsidRDefault="00A113BD" w:rsidP="00A113BD">
      <w:pPr>
        <w:ind w:left="720"/>
        <w:jc w:val="both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Lokālajā tāme Nr.1-3 nav iekļauts lapā BK-55 dotais stiegrojums Ø2</w:t>
      </w:r>
      <w:r w:rsidRPr="00FF5634">
        <w:rPr>
          <w:u w:val="none"/>
        </w:rPr>
        <w:t>0 B500B</w:t>
      </w:r>
      <w:r>
        <w:rPr>
          <w:u w:val="none"/>
        </w:rPr>
        <w:t xml:space="preserve"> 147 kg.</w:t>
      </w:r>
      <w:r w:rsidRPr="00FA10C7">
        <w:rPr>
          <w:u w:val="none"/>
        </w:rPr>
        <w:t xml:space="preserve"> </w:t>
      </w:r>
      <w:r>
        <w:rPr>
          <w:u w:val="none"/>
        </w:rPr>
        <w:t>Lūgums pārbaudīt un izdarīt korekcijas!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 xml:space="preserve">Atbilde </w:t>
      </w:r>
      <w:r>
        <w:rPr>
          <w:u w:val="none"/>
        </w:rPr>
        <w:t xml:space="preserve">– </w:t>
      </w:r>
      <w:r w:rsidRPr="005F4EBE">
        <w:rPr>
          <w:u w:val="none"/>
        </w:rPr>
        <w:t>Koriģ</w:t>
      </w:r>
      <w:r>
        <w:rPr>
          <w:u w:val="none"/>
        </w:rPr>
        <w:t>ē</w:t>
      </w:r>
      <w:r w:rsidRPr="005F4EBE">
        <w:rPr>
          <w:u w:val="none"/>
        </w:rPr>
        <w:t>ti apjomu saraksti tāmē 1-3 p.23.12</w:t>
      </w:r>
    </w:p>
    <w:p w:rsidR="00A113BD" w:rsidRPr="005F4EBE" w:rsidRDefault="00A113BD" w:rsidP="00A113BD">
      <w:pPr>
        <w:ind w:left="720"/>
        <w:jc w:val="both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 xml:space="preserve">Lokālajā tāme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 xml:space="preserve">. 1-3 pozīcijā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>. 23.9 dots 160 kg, bet projekta lapā BK-55</w:t>
      </w:r>
      <w:r w:rsidRPr="00B756C0">
        <w:rPr>
          <w:u w:val="none"/>
        </w:rPr>
        <w:t xml:space="preserve"> </w:t>
      </w:r>
      <w:r>
        <w:rPr>
          <w:u w:val="none"/>
        </w:rPr>
        <w:t>attiecīgā pozīcijā dots 190 kg.</w:t>
      </w:r>
      <w:r w:rsidRPr="00FA10C7">
        <w:rPr>
          <w:u w:val="none"/>
        </w:rPr>
        <w:t xml:space="preserve"> </w:t>
      </w:r>
      <w:r>
        <w:rPr>
          <w:u w:val="none"/>
        </w:rPr>
        <w:t>Lūgums pārbaudīt un izdarīt korekcijas!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>Atbilde</w:t>
      </w:r>
      <w:r>
        <w:rPr>
          <w:u w:val="none"/>
        </w:rPr>
        <w:t xml:space="preserve"> – skatīt koriģēto apjomu sarakstu (24.01.14.), tāme 1-3, p.23.9.</w:t>
      </w:r>
    </w:p>
    <w:p w:rsidR="00A113BD" w:rsidRDefault="00A113BD" w:rsidP="00A113BD">
      <w:pPr>
        <w:ind w:left="720"/>
        <w:jc w:val="both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 xml:space="preserve">Lokālajā tāme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 xml:space="preserve">. 1-3 pozīcijā </w:t>
      </w:r>
      <w:proofErr w:type="spellStart"/>
      <w:r>
        <w:rPr>
          <w:u w:val="none"/>
        </w:rPr>
        <w:t>Nr</w:t>
      </w:r>
      <w:proofErr w:type="spellEnd"/>
      <w:r>
        <w:rPr>
          <w:u w:val="none"/>
        </w:rPr>
        <w:t>. 31.1 dots 14 pārsedzes, bet projekta lapā BK-63</w:t>
      </w:r>
      <w:r w:rsidRPr="00B756C0">
        <w:rPr>
          <w:u w:val="none"/>
        </w:rPr>
        <w:t xml:space="preserve"> </w:t>
      </w:r>
      <w:r>
        <w:rPr>
          <w:u w:val="none"/>
        </w:rPr>
        <w:t>attiecīgā pozīcijā dots 15 pārsedzes. Lūgums pārbaudīt un izdarīt korekcijas!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>Atbilde</w:t>
      </w:r>
      <w:r>
        <w:rPr>
          <w:u w:val="none"/>
        </w:rPr>
        <w:t xml:space="preserve"> – skatīt koriģēto apjomu sarakstu (24.01.14.), tāme 1-3, p.31.1.</w:t>
      </w:r>
    </w:p>
    <w:p w:rsidR="00A113BD" w:rsidRPr="00FB6B18" w:rsidRDefault="00A113BD" w:rsidP="00A113BD">
      <w:pPr>
        <w:ind w:left="720"/>
        <w:jc w:val="both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 xml:space="preserve">Lūgums norādīt, cik m2 ir paredzēts kājslauķis </w:t>
      </w:r>
      <w:r w:rsidRPr="00DC4255">
        <w:rPr>
          <w:u w:val="none"/>
        </w:rPr>
        <w:t xml:space="preserve">1.zona </w:t>
      </w:r>
      <w:proofErr w:type="spellStart"/>
      <w:r w:rsidRPr="00DC4255">
        <w:rPr>
          <w:u w:val="none"/>
        </w:rPr>
        <w:t>Emco</w:t>
      </w:r>
      <w:proofErr w:type="spellEnd"/>
      <w:r w:rsidRPr="00DC4255">
        <w:rPr>
          <w:u w:val="none"/>
        </w:rPr>
        <w:t xml:space="preserve"> </w:t>
      </w:r>
      <w:proofErr w:type="spellStart"/>
      <w:r w:rsidRPr="00DC4255">
        <w:rPr>
          <w:u w:val="none"/>
        </w:rPr>
        <w:t>Diplomat</w:t>
      </w:r>
      <w:proofErr w:type="spellEnd"/>
      <w:r w:rsidRPr="00DC4255">
        <w:rPr>
          <w:u w:val="none"/>
        </w:rPr>
        <w:t xml:space="preserve"> 517S/RCB</w:t>
      </w:r>
      <w:r>
        <w:rPr>
          <w:u w:val="none"/>
        </w:rPr>
        <w:t xml:space="preserve"> un cik m2 ir paredzēts kājslauķis 2.zona </w:t>
      </w:r>
      <w:proofErr w:type="spellStart"/>
      <w:r>
        <w:rPr>
          <w:u w:val="none"/>
        </w:rPr>
        <w:t>Emco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Diplomat</w:t>
      </w:r>
      <w:proofErr w:type="spellEnd"/>
      <w:r>
        <w:rPr>
          <w:u w:val="none"/>
        </w:rPr>
        <w:t xml:space="preserve"> 517R, jo cenu atšķirība starp šiem kājslauķiem ir aptuveni 200 </w:t>
      </w:r>
      <w:proofErr w:type="spellStart"/>
      <w:r>
        <w:rPr>
          <w:u w:val="none"/>
        </w:rPr>
        <w:t>eur</w:t>
      </w:r>
      <w:proofErr w:type="spellEnd"/>
      <w:r>
        <w:rPr>
          <w:u w:val="none"/>
        </w:rPr>
        <w:t xml:space="preserve">/m2 un tiem ir atšķirīga konstrukcija. Turklāt vēlamies norādīt uz to, ka 1. zonas kājslauķis </w:t>
      </w:r>
      <w:proofErr w:type="spellStart"/>
      <w:r>
        <w:rPr>
          <w:u w:val="none"/>
        </w:rPr>
        <w:t>Emco</w:t>
      </w:r>
      <w:proofErr w:type="spellEnd"/>
      <w:r>
        <w:rPr>
          <w:u w:val="none"/>
        </w:rPr>
        <w:t xml:space="preserve"> </w:t>
      </w:r>
      <w:r w:rsidRPr="00DC4255">
        <w:rPr>
          <w:u w:val="none"/>
        </w:rPr>
        <w:t>517S/RCB</w:t>
      </w:r>
      <w:r>
        <w:rPr>
          <w:u w:val="none"/>
        </w:rPr>
        <w:t xml:space="preserve"> nav ar nosaukumu </w:t>
      </w:r>
      <w:proofErr w:type="spellStart"/>
      <w:r>
        <w:rPr>
          <w:u w:val="none"/>
        </w:rPr>
        <w:t>Diplomat</w:t>
      </w:r>
      <w:proofErr w:type="spellEnd"/>
      <w:r>
        <w:rPr>
          <w:u w:val="none"/>
        </w:rPr>
        <w:t xml:space="preserve">, bet gan tā nosaukums ir </w:t>
      </w:r>
      <w:proofErr w:type="spellStart"/>
      <w:r>
        <w:rPr>
          <w:u w:val="none"/>
        </w:rPr>
        <w:t>Marshall</w:t>
      </w:r>
      <w:proofErr w:type="spellEnd"/>
      <w:r>
        <w:rPr>
          <w:u w:val="none"/>
        </w:rPr>
        <w:t>.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>Atbilde</w:t>
      </w:r>
      <w:r>
        <w:rPr>
          <w:u w:val="none"/>
        </w:rPr>
        <w:t xml:space="preserve"> – </w:t>
      </w:r>
      <w:r w:rsidRPr="005F4EBE">
        <w:rPr>
          <w:u w:val="none"/>
        </w:rPr>
        <w:t>Grīdu apdares tips G10 precizēts apjomus sarakstos tāmē 1-10, p.28.1 un 28.2.</w:t>
      </w:r>
    </w:p>
    <w:p w:rsidR="00A113BD" w:rsidRDefault="00A113BD" w:rsidP="00A113BD">
      <w:pPr>
        <w:ind w:left="720"/>
        <w:jc w:val="both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 w:rsidRPr="00F341A9">
        <w:rPr>
          <w:u w:val="none"/>
          <w:lang w:eastAsia="lv-LV"/>
        </w:rPr>
        <w:t xml:space="preserve">Kāpēc pēc rasējuma 2013-25_EL-SH-1 sadalē IUS1 (uzskaites sadale) ir </w:t>
      </w:r>
      <w:proofErr w:type="spellStart"/>
      <w:r w:rsidRPr="00F341A9">
        <w:rPr>
          <w:u w:val="none"/>
          <w:lang w:eastAsia="lv-LV"/>
        </w:rPr>
        <w:t>strāvmaiņi</w:t>
      </w:r>
      <w:proofErr w:type="spellEnd"/>
      <w:r>
        <w:rPr>
          <w:u w:val="none"/>
          <w:lang w:eastAsia="lv-LV"/>
        </w:rPr>
        <w:t xml:space="preserve"> 200/5A, drošinātāji 200A, bet </w:t>
      </w:r>
      <w:r w:rsidRPr="00F341A9">
        <w:rPr>
          <w:u w:val="none"/>
          <w:lang w:eastAsia="lv-LV"/>
        </w:rPr>
        <w:t xml:space="preserve">sadalē MS-1 </w:t>
      </w:r>
      <w:proofErr w:type="spellStart"/>
      <w:r w:rsidRPr="00F341A9">
        <w:rPr>
          <w:u w:val="none"/>
          <w:lang w:eastAsia="lv-LV"/>
        </w:rPr>
        <w:t>strāvmaiņi</w:t>
      </w:r>
      <w:proofErr w:type="spellEnd"/>
      <w:r w:rsidRPr="00F341A9">
        <w:rPr>
          <w:u w:val="none"/>
          <w:lang w:eastAsia="lv-LV"/>
        </w:rPr>
        <w:t xml:space="preserve"> ir 400</w:t>
      </w:r>
      <w:r>
        <w:rPr>
          <w:u w:val="none"/>
          <w:lang w:eastAsia="lv-LV"/>
        </w:rPr>
        <w:t xml:space="preserve">/5A, </w:t>
      </w:r>
      <w:proofErr w:type="spellStart"/>
      <w:r>
        <w:rPr>
          <w:u w:val="none"/>
          <w:lang w:eastAsia="lv-LV"/>
        </w:rPr>
        <w:t>automātslēdzis</w:t>
      </w:r>
      <w:proofErr w:type="spellEnd"/>
      <w:r>
        <w:rPr>
          <w:u w:val="none"/>
          <w:lang w:eastAsia="lv-LV"/>
        </w:rPr>
        <w:t xml:space="preserve"> ar In=315A? </w:t>
      </w:r>
      <w:r w:rsidRPr="00F341A9">
        <w:rPr>
          <w:u w:val="none"/>
          <w:lang w:eastAsia="lv-LV"/>
        </w:rPr>
        <w:t>Pie pārslodzes "izsitīs" drošinātājus uzskaites sadalē, būs jāsauc AS "Sadales tīkls", lai maina tos - tie ir noplombēti...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 xml:space="preserve">Atbilde </w:t>
      </w:r>
      <w:r>
        <w:rPr>
          <w:u w:val="none"/>
        </w:rPr>
        <w:t xml:space="preserve">– </w:t>
      </w:r>
      <w:r w:rsidRPr="005F4EBE">
        <w:rPr>
          <w:u w:val="none"/>
        </w:rPr>
        <w:t xml:space="preserve">315A MS-1 </w:t>
      </w:r>
      <w:proofErr w:type="spellStart"/>
      <w:r w:rsidRPr="005F4EBE">
        <w:rPr>
          <w:u w:val="none"/>
        </w:rPr>
        <w:t>sadalnē</w:t>
      </w:r>
      <w:proofErr w:type="spellEnd"/>
      <w:r w:rsidRPr="005F4EBE">
        <w:rPr>
          <w:u w:val="none"/>
        </w:rPr>
        <w:t xml:space="preserve"> projektā nav paredzēts automātisks </w:t>
      </w:r>
      <w:proofErr w:type="spellStart"/>
      <w:r w:rsidRPr="005F4EBE">
        <w:rPr>
          <w:u w:val="none"/>
        </w:rPr>
        <w:t>aizsargslēdzis</w:t>
      </w:r>
      <w:proofErr w:type="spellEnd"/>
      <w:r w:rsidRPr="005F4EBE">
        <w:rPr>
          <w:u w:val="none"/>
        </w:rPr>
        <w:t>, bet vienkāršs slēdzis. Iespējamo pārslodzi projektā paredzēts novērst ar VAS sistēmu,  kas slēgs nost lieku slodzi (AVK), ja patērējama slodze tuvosies 200A (</w:t>
      </w:r>
      <w:proofErr w:type="spellStart"/>
      <w:r w:rsidRPr="005F4EBE">
        <w:rPr>
          <w:u w:val="none"/>
        </w:rPr>
        <w:t>sk</w:t>
      </w:r>
      <w:proofErr w:type="spellEnd"/>
      <w:r w:rsidRPr="005F4EBE">
        <w:rPr>
          <w:u w:val="none"/>
        </w:rPr>
        <w:t>. lapas SH-1 2. piezīmi)</w:t>
      </w:r>
    </w:p>
    <w:p w:rsidR="00A113BD" w:rsidRDefault="00A113BD" w:rsidP="00A113BD">
      <w:pPr>
        <w:ind w:left="720"/>
        <w:jc w:val="both"/>
        <w:rPr>
          <w:u w:val="none"/>
        </w:rPr>
      </w:pPr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  <w:lang w:eastAsia="lv-LV"/>
        </w:rPr>
        <w:t xml:space="preserve">Lūgums dot kontaktinformāciju absorbējošo </w:t>
      </w:r>
      <w:proofErr w:type="spellStart"/>
      <w:r>
        <w:rPr>
          <w:u w:val="none"/>
          <w:lang w:eastAsia="lv-LV"/>
        </w:rPr>
        <w:t>melamīna</w:t>
      </w:r>
      <w:proofErr w:type="spellEnd"/>
      <w:r>
        <w:rPr>
          <w:u w:val="none"/>
          <w:lang w:eastAsia="lv-LV"/>
        </w:rPr>
        <w:t xml:space="preserve"> putu akustisko paneļu</w:t>
      </w:r>
      <w:r w:rsidRPr="00FD4BED">
        <w:rPr>
          <w:u w:val="none"/>
          <w:lang w:eastAsia="lv-LV"/>
        </w:rPr>
        <w:t xml:space="preserve"> </w:t>
      </w:r>
      <w:proofErr w:type="spellStart"/>
      <w:r w:rsidRPr="00FD4BED">
        <w:rPr>
          <w:u w:val="none"/>
          <w:lang w:eastAsia="lv-LV"/>
        </w:rPr>
        <w:t>Pinta</w:t>
      </w:r>
      <w:proofErr w:type="spellEnd"/>
      <w:r w:rsidRPr="00FD4BED">
        <w:rPr>
          <w:u w:val="none"/>
          <w:lang w:eastAsia="lv-LV"/>
        </w:rPr>
        <w:t xml:space="preserve"> </w:t>
      </w:r>
      <w:proofErr w:type="spellStart"/>
      <w:r w:rsidRPr="00FD4BED">
        <w:rPr>
          <w:u w:val="none"/>
          <w:lang w:eastAsia="lv-LV"/>
        </w:rPr>
        <w:t>Element</w:t>
      </w:r>
      <w:proofErr w:type="spellEnd"/>
      <w:r w:rsidRPr="00FD4BED">
        <w:rPr>
          <w:u w:val="none"/>
          <w:lang w:eastAsia="lv-LV"/>
        </w:rPr>
        <w:t xml:space="preserve"> </w:t>
      </w:r>
      <w:proofErr w:type="spellStart"/>
      <w:r w:rsidRPr="00FD4BED">
        <w:rPr>
          <w:u w:val="none"/>
          <w:lang w:eastAsia="lv-LV"/>
        </w:rPr>
        <w:t>Piramida</w:t>
      </w:r>
      <w:proofErr w:type="spellEnd"/>
      <w:r>
        <w:rPr>
          <w:u w:val="none"/>
          <w:lang w:eastAsia="lv-LV"/>
        </w:rPr>
        <w:t xml:space="preserve"> izplatītājam Latvijā vai ārzemēs!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 xml:space="preserve">Atbilde </w:t>
      </w:r>
      <w:r>
        <w:rPr>
          <w:u w:val="none"/>
        </w:rPr>
        <w:t>– informācija ir publiski brīvi pieejama, piemēram, internetā.</w:t>
      </w:r>
    </w:p>
    <w:p w:rsidR="00A113BD" w:rsidRDefault="00A113BD" w:rsidP="00A113BD">
      <w:pPr>
        <w:ind w:left="720"/>
        <w:jc w:val="both"/>
        <w:rPr>
          <w:u w:val="none"/>
        </w:rPr>
      </w:pPr>
      <w:bookmarkStart w:id="0" w:name="_GoBack"/>
      <w:bookmarkEnd w:id="0"/>
    </w:p>
    <w:p w:rsidR="00A113BD" w:rsidRDefault="00A113BD" w:rsidP="00A113BD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  <w:lang w:eastAsia="lv-LV"/>
        </w:rPr>
        <w:t>Lūgums dot kontaktinformāciju f</w:t>
      </w:r>
      <w:r w:rsidRPr="003A53F6">
        <w:rPr>
          <w:u w:val="none"/>
          <w:lang w:eastAsia="lv-LV"/>
        </w:rPr>
        <w:t>asādes stikla/</w:t>
      </w:r>
      <w:proofErr w:type="spellStart"/>
      <w:r w:rsidRPr="003A53F6">
        <w:rPr>
          <w:u w:val="none"/>
          <w:lang w:eastAsia="lv-LV"/>
        </w:rPr>
        <w:t>šķiedrcementa</w:t>
      </w:r>
      <w:proofErr w:type="spellEnd"/>
      <w:r w:rsidRPr="003A53F6">
        <w:rPr>
          <w:u w:val="none"/>
          <w:lang w:eastAsia="lv-LV"/>
        </w:rPr>
        <w:t xml:space="preserve"> apšuvu</w:t>
      </w:r>
      <w:r>
        <w:rPr>
          <w:u w:val="none"/>
          <w:lang w:eastAsia="lv-LV"/>
        </w:rPr>
        <w:t xml:space="preserve">ma plāksnes STO </w:t>
      </w:r>
      <w:proofErr w:type="spellStart"/>
      <w:r>
        <w:rPr>
          <w:u w:val="none"/>
          <w:lang w:eastAsia="lv-LV"/>
        </w:rPr>
        <w:t>Tragenplatte</w:t>
      </w:r>
      <w:proofErr w:type="spellEnd"/>
      <w:r w:rsidRPr="003A53F6">
        <w:rPr>
          <w:u w:val="none"/>
          <w:lang w:eastAsia="lv-LV"/>
        </w:rPr>
        <w:t xml:space="preserve"> ar stikla apdari STO </w:t>
      </w:r>
      <w:proofErr w:type="spellStart"/>
      <w:r w:rsidRPr="003A53F6">
        <w:rPr>
          <w:u w:val="none"/>
          <w:lang w:eastAsia="lv-LV"/>
        </w:rPr>
        <w:t>Verotec</w:t>
      </w:r>
      <w:proofErr w:type="spellEnd"/>
      <w:r w:rsidRPr="003A53F6">
        <w:rPr>
          <w:u w:val="none"/>
          <w:lang w:eastAsia="lv-LV"/>
        </w:rPr>
        <w:t xml:space="preserve"> </w:t>
      </w:r>
      <w:proofErr w:type="spellStart"/>
      <w:r w:rsidRPr="003A53F6">
        <w:rPr>
          <w:u w:val="none"/>
          <w:lang w:eastAsia="lv-LV"/>
        </w:rPr>
        <w:t>Glass</w:t>
      </w:r>
      <w:proofErr w:type="spellEnd"/>
      <w:r w:rsidRPr="003A53F6">
        <w:rPr>
          <w:u w:val="none"/>
          <w:lang w:eastAsia="lv-LV"/>
        </w:rPr>
        <w:t xml:space="preserve"> </w:t>
      </w:r>
      <w:r>
        <w:rPr>
          <w:u w:val="none"/>
          <w:lang w:eastAsia="lv-LV"/>
        </w:rPr>
        <w:t>izplatītājam Latvijā vai ārzemēs!</w:t>
      </w:r>
    </w:p>
    <w:p w:rsidR="00A113BD" w:rsidRDefault="00A113BD" w:rsidP="00A113BD">
      <w:pPr>
        <w:ind w:left="720"/>
        <w:jc w:val="both"/>
        <w:rPr>
          <w:u w:val="none"/>
        </w:rPr>
      </w:pPr>
      <w:r w:rsidRPr="005F4EBE">
        <w:rPr>
          <w:b/>
          <w:u w:val="none"/>
        </w:rPr>
        <w:t xml:space="preserve">Atbilde </w:t>
      </w:r>
      <w:r>
        <w:rPr>
          <w:u w:val="none"/>
        </w:rPr>
        <w:t>– informācija ir publiski brīvi pieejama, piemēram, internetā.</w:t>
      </w:r>
    </w:p>
    <w:p w:rsidR="00A113BD" w:rsidRDefault="00A113BD" w:rsidP="00A113BD">
      <w:pPr>
        <w:ind w:left="720"/>
        <w:jc w:val="both"/>
        <w:rPr>
          <w:u w:val="none"/>
        </w:rPr>
      </w:pPr>
    </w:p>
    <w:p w:rsidR="00A113BD" w:rsidRDefault="00A113BD" w:rsidP="00A113BD">
      <w:pPr>
        <w:pStyle w:val="ListParagraph"/>
        <w:ind w:left="644"/>
        <w:jc w:val="both"/>
        <w:rPr>
          <w:rFonts w:ascii="Times New Roman" w:hAnsi="Times New Roman"/>
        </w:rPr>
      </w:pPr>
    </w:p>
    <w:p w:rsidR="0090437B" w:rsidRDefault="0090437B"/>
    <w:sectPr w:rsidR="009043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D14D5"/>
    <w:multiLevelType w:val="hybridMultilevel"/>
    <w:tmpl w:val="A02C45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BD"/>
    <w:rsid w:val="0090437B"/>
    <w:rsid w:val="00A113BD"/>
    <w:rsid w:val="00D1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3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3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2941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B-327</dc:creator>
  <cp:keywords/>
  <dc:description/>
  <cp:lastModifiedBy> B-327</cp:lastModifiedBy>
  <cp:revision>1</cp:revision>
  <dcterms:created xsi:type="dcterms:W3CDTF">2014-01-27T15:10:00Z</dcterms:created>
  <dcterms:modified xsi:type="dcterms:W3CDTF">2014-01-27T15:12:00Z</dcterms:modified>
</cp:coreProperties>
</file>